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272EE" w14:textId="5A091EA2" w:rsidR="00E40502" w:rsidRPr="00CF431E" w:rsidRDefault="00522C43" w:rsidP="00022751">
      <w:pPr>
        <w:pStyle w:val="Heading1"/>
        <w:spacing w:before="0"/>
      </w:pPr>
      <w:r w:rsidRPr="00CF431E">
        <w:t xml:space="preserve">Supplementary material </w:t>
      </w:r>
      <w:r w:rsidR="004A2460" w:rsidRPr="00CF431E">
        <w:t>2</w:t>
      </w:r>
      <w:r w:rsidRPr="00CF431E">
        <w:t>:</w:t>
      </w:r>
      <w:r w:rsidR="00022751" w:rsidRPr="00CF431E">
        <w:br/>
      </w:r>
      <w:r w:rsidR="001907E1" w:rsidRPr="00CF431E">
        <w:t>E</w:t>
      </w:r>
      <w:r w:rsidR="00E40502" w:rsidRPr="00CF431E">
        <w:t xml:space="preserve">mbedding </w:t>
      </w:r>
      <w:r w:rsidR="00033FD6" w:rsidRPr="00CF431E">
        <w:t>c</w:t>
      </w:r>
      <w:r w:rsidR="00E40502" w:rsidRPr="00CF431E">
        <w:t xml:space="preserve">ultural </w:t>
      </w:r>
      <w:r w:rsidR="00950386" w:rsidRPr="00CF431E">
        <w:t>s</w:t>
      </w:r>
      <w:r w:rsidR="00E40502" w:rsidRPr="00CF431E">
        <w:t xml:space="preserve">afety </w:t>
      </w:r>
      <w:r w:rsidR="009A07AC" w:rsidRPr="00CF431E">
        <w:t xml:space="preserve">for Aboriginal and Torres Strait Islander children </w:t>
      </w:r>
      <w:r w:rsidR="00E40502" w:rsidRPr="00CF431E">
        <w:t xml:space="preserve">in </w:t>
      </w:r>
      <w:r w:rsidR="00950386" w:rsidRPr="00CF431E">
        <w:t>a</w:t>
      </w:r>
      <w:r w:rsidR="00782172" w:rsidRPr="00CF431E">
        <w:t>n integrated</w:t>
      </w:r>
      <w:r w:rsidR="00950386" w:rsidRPr="00CF431E">
        <w:t xml:space="preserve"> </w:t>
      </w:r>
      <w:r w:rsidR="00E40502" w:rsidRPr="00CF431E">
        <w:t>Queensland</w:t>
      </w:r>
      <w:r w:rsidR="00950386" w:rsidRPr="00CF431E">
        <w:t xml:space="preserve"> c</w:t>
      </w:r>
      <w:r w:rsidR="00E40502" w:rsidRPr="00CF431E">
        <w:t xml:space="preserve">hild </w:t>
      </w:r>
      <w:r w:rsidR="00950386" w:rsidRPr="00CF431E">
        <w:t>s</w:t>
      </w:r>
      <w:r w:rsidR="00E40502" w:rsidRPr="00CF431E">
        <w:t xml:space="preserve">afe </w:t>
      </w:r>
      <w:r w:rsidR="00950386" w:rsidRPr="00CF431E">
        <w:t>o</w:t>
      </w:r>
      <w:r w:rsidR="00E40502" w:rsidRPr="00CF431E">
        <w:t xml:space="preserve">rganisations </w:t>
      </w:r>
      <w:r w:rsidR="00950386" w:rsidRPr="00CF431E">
        <w:t>s</w:t>
      </w:r>
      <w:r w:rsidR="00E40502" w:rsidRPr="00CF431E">
        <w:t>ystem</w:t>
      </w:r>
    </w:p>
    <w:p w14:paraId="46875155" w14:textId="0CE0DC49" w:rsidR="00E40502" w:rsidRPr="00F22E65" w:rsidRDefault="0091471D" w:rsidP="00022751">
      <w:r w:rsidRPr="00F22E65">
        <w:t>Ensuring that cultural safety</w:t>
      </w:r>
      <w:r w:rsidR="003511D5" w:rsidRPr="00F22E65">
        <w:t xml:space="preserve"> for Aboriginal and Torres Strait Islander children</w:t>
      </w:r>
      <w:r w:rsidRPr="00F22E65">
        <w:t xml:space="preserve"> is embedded into any proposed child safe organisations system is a priority for </w:t>
      </w:r>
      <w:r w:rsidR="00782172" w:rsidRPr="00F22E65">
        <w:t xml:space="preserve">the </w:t>
      </w:r>
      <w:r w:rsidRPr="00F22E65">
        <w:t>Queensland</w:t>
      </w:r>
      <w:r w:rsidR="00782172" w:rsidRPr="00F22E65">
        <w:t xml:space="preserve"> Government</w:t>
      </w:r>
      <w:r w:rsidRPr="00F22E65">
        <w:t xml:space="preserve">. </w:t>
      </w:r>
      <w:r w:rsidR="00F31F6C" w:rsidRPr="00F22E65">
        <w:t>We heard there is s</w:t>
      </w:r>
      <w:r w:rsidR="00033FD6" w:rsidRPr="00F22E65">
        <w:t xml:space="preserve">trong support for cultural safety </w:t>
      </w:r>
      <w:r w:rsidR="00F31F6C" w:rsidRPr="00F22E65">
        <w:t xml:space="preserve">during our </w:t>
      </w:r>
      <w:r w:rsidR="00950386" w:rsidRPr="00F22E65">
        <w:rPr>
          <w:rFonts w:cs="HelveticaNeue-LightCond"/>
        </w:rPr>
        <w:t xml:space="preserve">2021 </w:t>
      </w:r>
      <w:r w:rsidR="00E40502" w:rsidRPr="00F22E65">
        <w:rPr>
          <w:rFonts w:cs="HelveticaNeue-LightCond"/>
        </w:rPr>
        <w:t xml:space="preserve">targeted consultations </w:t>
      </w:r>
      <w:r w:rsidR="00950386" w:rsidRPr="00F22E65">
        <w:rPr>
          <w:rFonts w:cs="HelveticaNeue-LightCond"/>
        </w:rPr>
        <w:t xml:space="preserve">on </w:t>
      </w:r>
      <w:r w:rsidR="00950386" w:rsidRPr="00F22E65">
        <w:rPr>
          <w:rFonts w:cs="HelveticaNeue-LightCond"/>
          <w:i/>
          <w:iCs/>
        </w:rPr>
        <w:t xml:space="preserve">Growing child safe organisations in Queensland: Child </w:t>
      </w:r>
      <w:r w:rsidR="00033FD6" w:rsidRPr="00F22E65">
        <w:rPr>
          <w:rFonts w:cs="HelveticaNeue-LightCond"/>
          <w:i/>
          <w:iCs/>
        </w:rPr>
        <w:t>s</w:t>
      </w:r>
      <w:r w:rsidR="00950386" w:rsidRPr="00F22E65">
        <w:rPr>
          <w:rFonts w:cs="HelveticaNeue-LightCond"/>
          <w:i/>
          <w:iCs/>
        </w:rPr>
        <w:t>afe standards and a reportable conduct scheme</w:t>
      </w:r>
      <w:r w:rsidR="00033FD6" w:rsidRPr="00F22E65">
        <w:rPr>
          <w:rFonts w:cs="HelveticaNeue-LightCond"/>
        </w:rPr>
        <w:t>.</w:t>
      </w:r>
      <w:r w:rsidR="00DD0461" w:rsidRPr="00F22E65">
        <w:t xml:space="preserve"> </w:t>
      </w:r>
    </w:p>
    <w:p w14:paraId="67313A41" w14:textId="20A1B268" w:rsidR="00782172" w:rsidRDefault="00F31F6C" w:rsidP="00022751">
      <w:r w:rsidRPr="00F22E65">
        <w:t xml:space="preserve">Our next step is to hear </w:t>
      </w:r>
      <w:r w:rsidR="00033FD6" w:rsidRPr="00F22E65">
        <w:t xml:space="preserve">from you about the best approach </w:t>
      </w:r>
      <w:r w:rsidR="009A07AC" w:rsidRPr="00F22E65">
        <w:t xml:space="preserve">for Queensland. </w:t>
      </w:r>
      <w:r w:rsidRPr="00F22E65">
        <w:t xml:space="preserve">We welcome input from everyone, and we are particularly interested in hearing from Aboriginal and Torres Strait Islander peoples about what you would </w:t>
      </w:r>
      <w:r w:rsidR="00782172" w:rsidRPr="00F22E65">
        <w:t xml:space="preserve">need </w:t>
      </w:r>
      <w:r w:rsidR="00910968">
        <w:t xml:space="preserve">or want </w:t>
      </w:r>
      <w:r w:rsidR="00782172" w:rsidRPr="00F22E65">
        <w:t xml:space="preserve">to </w:t>
      </w:r>
      <w:r w:rsidRPr="00F22E65">
        <w:t xml:space="preserve">see </w:t>
      </w:r>
      <w:r w:rsidR="00782172" w:rsidRPr="00F22E65">
        <w:t>in</w:t>
      </w:r>
      <w:r w:rsidRPr="00F22E65">
        <w:t xml:space="preserve"> a culturally safe system</w:t>
      </w:r>
      <w:r w:rsidRPr="00C9071E">
        <w:t xml:space="preserve">. </w:t>
      </w:r>
    </w:p>
    <w:p w14:paraId="20042046" w14:textId="7BE2EB0E" w:rsidR="00DD0461" w:rsidRPr="00022751" w:rsidRDefault="001907E1" w:rsidP="00022751">
      <w:pPr>
        <w:pStyle w:val="Heading2"/>
      </w:pPr>
      <w:r w:rsidRPr="00022751">
        <w:t>The Royal Commission’s findings on cultural safety</w:t>
      </w:r>
    </w:p>
    <w:p w14:paraId="642FED50" w14:textId="25F82FBF" w:rsidR="00E049A6" w:rsidRDefault="00DD0461" w:rsidP="00022751">
      <w:r w:rsidRPr="00F22E65">
        <w:t xml:space="preserve">There are many definitions of cultural safety. We acknowledge that only Aboriginal and Torres Strait Islander peoples have the authority to define what is culturally safe for Aboriginal and Torres Strait Islander peoples, communities and children. We also acknowledge that what feels culturally safe for one person, may not feel culturally safe for another person. </w:t>
      </w:r>
    </w:p>
    <w:p w14:paraId="67EC238E" w14:textId="362F3B3C" w:rsidR="00DD0461" w:rsidRPr="00E049A6" w:rsidRDefault="00E40502" w:rsidP="00022751">
      <w:pPr>
        <w:rPr>
          <w:rFonts w:eastAsiaTheme="minorEastAsia"/>
        </w:rPr>
      </w:pPr>
      <w:r w:rsidRPr="00E049A6">
        <w:rPr>
          <w:rFonts w:eastAsiaTheme="minorEastAsia"/>
        </w:rPr>
        <w:t>The Royal Commission</w:t>
      </w:r>
      <w:r w:rsidR="005C7D62" w:rsidRPr="00E049A6">
        <w:rPr>
          <w:rFonts w:eastAsiaTheme="minorEastAsia"/>
        </w:rPr>
        <w:t xml:space="preserve"> into Institutional Responses to Child Sexual Abuse (Royal Commission)</w:t>
      </w:r>
      <w:r w:rsidRPr="00E049A6">
        <w:rPr>
          <w:rFonts w:eastAsiaTheme="minorEastAsia"/>
        </w:rPr>
        <w:t xml:space="preserve"> found that a strong connection to culture is a protective factor against child sexual abuse for Aboriginal and Torres Strait Islander children because:</w:t>
      </w:r>
    </w:p>
    <w:p w14:paraId="5EA5CA58" w14:textId="4D24BFEC" w:rsidR="00E40502" w:rsidRPr="00022751" w:rsidRDefault="00E40502" w:rsidP="00022751">
      <w:pPr>
        <w:pStyle w:val="ListBullet"/>
        <w:rPr>
          <w:rFonts w:eastAsiaTheme="minorEastAsia"/>
        </w:rPr>
      </w:pPr>
      <w:r w:rsidRPr="00022751">
        <w:rPr>
          <w:rFonts w:eastAsiaTheme="minorEastAsia"/>
        </w:rPr>
        <w:t>it builds resilience in communities to help mitigate the negative consequences of past policies and contemporary racism;</w:t>
      </w:r>
    </w:p>
    <w:p w14:paraId="195088E2" w14:textId="44BFC1F4" w:rsidR="00E40502" w:rsidRPr="00022751" w:rsidRDefault="00E40502" w:rsidP="00022751">
      <w:pPr>
        <w:pStyle w:val="ListBullet"/>
      </w:pPr>
      <w:r w:rsidRPr="00022751">
        <w:t>strong attachments with multiple caregivers, a high self-esteem and positive social connections act as protective factors against child sexual abuse; and</w:t>
      </w:r>
    </w:p>
    <w:p w14:paraId="41A003B1" w14:textId="2A621941" w:rsidR="00E40502" w:rsidRPr="00022751" w:rsidRDefault="00E40502" w:rsidP="00022751">
      <w:pPr>
        <w:pStyle w:val="ListBullet"/>
      </w:pPr>
      <w:r w:rsidRPr="00022751">
        <w:t>racism and disconnection from culture height</w:t>
      </w:r>
      <w:r w:rsidR="00687AFD" w:rsidRPr="00022751">
        <w:t>en</w:t>
      </w:r>
      <w:r w:rsidRPr="00022751">
        <w:t xml:space="preserve"> the vulnerabilities that Aboriginal and Torres Strait Islander children face in institutions.</w:t>
      </w:r>
      <w:r w:rsidRPr="00022751">
        <w:rPr>
          <w:vertAlign w:val="superscript"/>
        </w:rPr>
        <w:footnoteReference w:id="1"/>
      </w:r>
    </w:p>
    <w:p w14:paraId="374AC440" w14:textId="60F9C1EA" w:rsidR="0091471D" w:rsidRPr="00022751" w:rsidRDefault="0091471D" w:rsidP="00022751">
      <w:pPr>
        <w:pStyle w:val="Heading2"/>
      </w:pPr>
      <w:r w:rsidRPr="00022751">
        <w:t xml:space="preserve">Key approaches </w:t>
      </w:r>
      <w:r w:rsidR="003511D5" w:rsidRPr="00022751">
        <w:t>under</w:t>
      </w:r>
      <w:r w:rsidRPr="00022751">
        <w:t xml:space="preserve"> consider</w:t>
      </w:r>
      <w:r w:rsidR="003511D5" w:rsidRPr="00022751">
        <w:t xml:space="preserve">ation </w:t>
      </w:r>
    </w:p>
    <w:p w14:paraId="2C8EB361" w14:textId="6023C3C9" w:rsidR="00E40502" w:rsidRPr="00F22E65" w:rsidRDefault="00F31F6C" w:rsidP="00022751">
      <w:r w:rsidRPr="00F22E65">
        <w:t xml:space="preserve">We are </w:t>
      </w:r>
      <w:r w:rsidR="009A07AC" w:rsidRPr="00F22E65">
        <w:t xml:space="preserve">exploring </w:t>
      </w:r>
      <w:r w:rsidR="001907E1" w:rsidRPr="00F22E65">
        <w:t xml:space="preserve">two key approaches to embed cultural safety in a Queensland child safe organisations system. We are seeking your </w:t>
      </w:r>
      <w:r w:rsidR="009A07AC" w:rsidRPr="00F22E65">
        <w:t>c</w:t>
      </w:r>
      <w:r w:rsidR="00F821A3" w:rsidRPr="00F22E65">
        <w:t xml:space="preserve">onsideration and </w:t>
      </w:r>
      <w:r w:rsidR="001907E1" w:rsidRPr="00F22E65">
        <w:t xml:space="preserve">feedback </w:t>
      </w:r>
      <w:r w:rsidR="00F821A3" w:rsidRPr="00F22E65">
        <w:t>on</w:t>
      </w:r>
      <w:r w:rsidR="001907E1" w:rsidRPr="00F22E65">
        <w:t xml:space="preserve"> these approaches</w:t>
      </w:r>
      <w:r w:rsidR="00687AFD" w:rsidRPr="00F22E65">
        <w:t>,</w:t>
      </w:r>
      <w:r w:rsidR="001907E1" w:rsidRPr="00F22E65">
        <w:t xml:space="preserve"> </w:t>
      </w:r>
      <w:r w:rsidR="009A07AC" w:rsidRPr="00F22E65">
        <w:t xml:space="preserve">or if there is another </w:t>
      </w:r>
      <w:r w:rsidR="003511D5" w:rsidRPr="00F22E65">
        <w:t xml:space="preserve">approach </w:t>
      </w:r>
      <w:r w:rsidR="00910968">
        <w:t>that</w:t>
      </w:r>
      <w:r w:rsidR="00910968" w:rsidRPr="00F22E65">
        <w:t xml:space="preserve"> </w:t>
      </w:r>
      <w:r w:rsidR="003511D5" w:rsidRPr="00F22E65">
        <w:t xml:space="preserve">responds better to the Queensland context. </w:t>
      </w:r>
    </w:p>
    <w:p w14:paraId="79844EF3" w14:textId="3E1D34A2" w:rsidR="00E40502" w:rsidRPr="00022751" w:rsidRDefault="00E40502" w:rsidP="00022751">
      <w:pPr>
        <w:pStyle w:val="ListParagraph"/>
        <w:numPr>
          <w:ilvl w:val="0"/>
          <w:numId w:val="2"/>
        </w:numPr>
        <w:spacing w:before="60" w:after="60"/>
        <w:ind w:left="357" w:hanging="357"/>
        <w:contextualSpacing w:val="0"/>
        <w:rPr>
          <w:rFonts w:eastAsiaTheme="minorEastAsia"/>
        </w:rPr>
      </w:pPr>
      <w:r w:rsidRPr="00022751">
        <w:rPr>
          <w:rFonts w:eastAsiaTheme="minorEastAsia"/>
          <w:i/>
          <w:iCs/>
        </w:rPr>
        <w:t xml:space="preserve">Create an additional </w:t>
      </w:r>
      <w:r w:rsidR="00910968" w:rsidRPr="00022751">
        <w:rPr>
          <w:rFonts w:eastAsiaTheme="minorEastAsia"/>
          <w:i/>
          <w:iCs/>
        </w:rPr>
        <w:t>CSS</w:t>
      </w:r>
      <w:r w:rsidR="00190901" w:rsidRPr="00022751">
        <w:rPr>
          <w:rFonts w:eastAsiaTheme="minorEastAsia"/>
        </w:rPr>
        <w:t>:</w:t>
      </w:r>
      <w:r w:rsidRPr="00022751">
        <w:rPr>
          <w:rFonts w:eastAsiaTheme="minorEastAsia"/>
        </w:rPr>
        <w:t xml:space="preserve"> The Victorian Government has introduced an 11th </w:t>
      </w:r>
      <w:r w:rsidR="00910968" w:rsidRPr="00022751">
        <w:rPr>
          <w:rFonts w:eastAsiaTheme="minorEastAsia"/>
        </w:rPr>
        <w:t>CSS</w:t>
      </w:r>
      <w:r w:rsidRPr="00022751">
        <w:rPr>
          <w:rFonts w:eastAsiaTheme="minorEastAsia"/>
        </w:rPr>
        <w:t xml:space="preserve">: ‘Establish a culturally safe environment in which the diverse and unique identities and experiences of Aboriginal children and young people are respected and valued’. The benefit of this approach is that a specific standard puts cultural safety at the </w:t>
      </w:r>
      <w:r w:rsidR="00825F82" w:rsidRPr="00022751">
        <w:rPr>
          <w:rFonts w:eastAsiaTheme="minorEastAsia"/>
        </w:rPr>
        <w:t>forefront and makes it clear that dedicated actions are needed to make an organisation culturally safe. H</w:t>
      </w:r>
      <w:r w:rsidRPr="00022751">
        <w:rPr>
          <w:rFonts w:eastAsiaTheme="minorEastAsia"/>
        </w:rPr>
        <w:t>owever, it could also mean organisations do not consider cultural safety fully in their application of the other standards.</w:t>
      </w:r>
    </w:p>
    <w:p w14:paraId="5AA0E889" w14:textId="107D7A55" w:rsidR="004E734F" w:rsidRPr="00022751" w:rsidRDefault="00E40502" w:rsidP="00022751">
      <w:pPr>
        <w:pStyle w:val="ListParagraph"/>
        <w:numPr>
          <w:ilvl w:val="0"/>
          <w:numId w:val="2"/>
        </w:numPr>
        <w:spacing w:before="60" w:after="60"/>
        <w:ind w:left="357" w:hanging="357"/>
        <w:contextualSpacing w:val="0"/>
        <w:rPr>
          <w:rFonts w:eastAsiaTheme="minorEastAsia"/>
        </w:rPr>
      </w:pPr>
      <w:r w:rsidRPr="00022751">
        <w:rPr>
          <w:rFonts w:eastAsiaTheme="minorEastAsia"/>
          <w:i/>
          <w:iCs/>
        </w:rPr>
        <w:t xml:space="preserve">Include cultural safety as a guiding principle across all </w:t>
      </w:r>
      <w:r w:rsidR="00910968" w:rsidRPr="00022751">
        <w:rPr>
          <w:rFonts w:eastAsiaTheme="minorEastAsia"/>
          <w:i/>
          <w:iCs/>
        </w:rPr>
        <w:t>CSS</w:t>
      </w:r>
      <w:r w:rsidRPr="00022751">
        <w:rPr>
          <w:rFonts w:eastAsiaTheme="minorEastAsia"/>
          <w:i/>
          <w:iCs/>
        </w:rPr>
        <w:t xml:space="preserve">: </w:t>
      </w:r>
      <w:r w:rsidR="00F821A3" w:rsidRPr="00022751">
        <w:rPr>
          <w:rFonts w:eastAsiaTheme="minorEastAsia"/>
        </w:rPr>
        <w:t xml:space="preserve">The </w:t>
      </w:r>
      <w:r w:rsidRPr="00022751">
        <w:rPr>
          <w:rFonts w:eastAsiaTheme="minorEastAsia"/>
        </w:rPr>
        <w:t>Tasmania</w:t>
      </w:r>
      <w:r w:rsidR="00F821A3" w:rsidRPr="00022751">
        <w:rPr>
          <w:rFonts w:eastAsiaTheme="minorEastAsia"/>
        </w:rPr>
        <w:t>n Government</w:t>
      </w:r>
      <w:r w:rsidRPr="00022751">
        <w:rPr>
          <w:rFonts w:eastAsiaTheme="minorEastAsia"/>
        </w:rPr>
        <w:t xml:space="preserve"> </w:t>
      </w:r>
      <w:r w:rsidR="00825F82" w:rsidRPr="00022751">
        <w:rPr>
          <w:rFonts w:eastAsiaTheme="minorEastAsia"/>
        </w:rPr>
        <w:t>includes</w:t>
      </w:r>
      <w:r w:rsidRPr="00022751">
        <w:rPr>
          <w:rFonts w:eastAsiaTheme="minorEastAsia"/>
        </w:rPr>
        <w:t xml:space="preserve"> a universal principle that sits across all 10 </w:t>
      </w:r>
      <w:r w:rsidR="00910968" w:rsidRPr="00022751">
        <w:rPr>
          <w:rFonts w:eastAsiaTheme="minorEastAsia"/>
        </w:rPr>
        <w:t>CSS</w:t>
      </w:r>
      <w:r w:rsidRPr="00022751">
        <w:rPr>
          <w:rFonts w:eastAsiaTheme="minorEastAsia"/>
        </w:rPr>
        <w:t xml:space="preserve"> to ensure the right to cultural safety of children who identify as Aboriginal or Torres Strait Islander is respected. The benefit of this approach is </w:t>
      </w:r>
      <w:r w:rsidRPr="00022751">
        <w:rPr>
          <w:rFonts w:eastAsiaTheme="minorEastAsia"/>
        </w:rPr>
        <w:lastRenderedPageBreak/>
        <w:t>that a guiding principle could encourage consideration of cultural safety across all standards. However, a guiding principle could also be less obvious to organisations as it may not be clear the principle has legal status or requirements for its compliance.</w:t>
      </w:r>
    </w:p>
    <w:p w14:paraId="75D2BCA5" w14:textId="38CAC145" w:rsidR="004E734F" w:rsidRDefault="004E734F" w:rsidP="00022751">
      <w:r w:rsidRPr="00F22E65">
        <w:t xml:space="preserve">Embedding cultural safety in the </w:t>
      </w:r>
      <w:r w:rsidR="00910968">
        <w:t>CSS</w:t>
      </w:r>
      <w:r w:rsidRPr="00F22E65">
        <w:t xml:space="preserve"> will also, by extension, apply to the systems that organisations put in place to prevent, detect and respond to reportable conduct. </w:t>
      </w:r>
    </w:p>
    <w:p w14:paraId="7A5EEFEE" w14:textId="08178B1D" w:rsidR="00047A34" w:rsidRDefault="00022751" w:rsidP="00022751">
      <w:r>
        <w:rPr>
          <w:noProof/>
        </w:rPr>
        <mc:AlternateContent>
          <mc:Choice Requires="wps">
            <w:drawing>
              <wp:inline distT="0" distB="0" distL="0" distR="0" wp14:anchorId="4FF4D7FC" wp14:editId="61A00C95">
                <wp:extent cx="6020790" cy="4239491"/>
                <wp:effectExtent l="0" t="0" r="0" b="88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790" cy="4239491"/>
                        </a:xfrm>
                        <a:prstGeom prst="rect">
                          <a:avLst/>
                        </a:prstGeom>
                        <a:solidFill>
                          <a:srgbClr val="B4E1E5"/>
                        </a:solidFill>
                        <a:ln w="12700">
                          <a:noFill/>
                          <a:miter lim="800000"/>
                          <a:headEnd/>
                          <a:tailEnd/>
                        </a:ln>
                      </wps:spPr>
                      <wps:txbx>
                        <w:txbxContent>
                          <w:p w14:paraId="53B074C1" w14:textId="183CC36E" w:rsidR="00022751" w:rsidRDefault="00022751" w:rsidP="00022751">
                            <w:pPr>
                              <w:spacing w:before="120" w:after="240"/>
                              <w:jc w:val="both"/>
                              <w:rPr>
                                <w:rStyle w:val="Heading4Char"/>
                                <w:rFonts w:ascii="Arial" w:eastAsiaTheme="minorEastAsia" w:hAnsi="Arial" w:cs="Arial"/>
                                <w:b/>
                                <w:bCs/>
                                <w:noProof/>
                                <w:color w:val="auto"/>
                                <w:sz w:val="28"/>
                                <w:szCs w:val="28"/>
                              </w:rPr>
                            </w:pPr>
                            <w:r>
                              <w:rPr>
                                <w:rFonts w:ascii="Gidole-Regular" w:hAnsi="Gidole-Regular" w:cs="Gidole-Regular"/>
                                <w:b/>
                                <w:bCs/>
                                <w:noProof/>
                                <w:color w:val="002060"/>
                                <w:sz w:val="32"/>
                                <w:szCs w:val="32"/>
                              </w:rPr>
                              <w:drawing>
                                <wp:inline distT="0" distB="0" distL="0" distR="0" wp14:anchorId="44251DCD" wp14:editId="5EF51E88">
                                  <wp:extent cx="469127" cy="469127"/>
                                  <wp:effectExtent l="0" t="0" r="0" b="7620"/>
                                  <wp:docPr id="12" name="Graphic 12" descr="Person with 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erson with idea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70904" cy="470904"/>
                                          </a:xfrm>
                                          <a:prstGeom prst="rect">
                                            <a:avLst/>
                                          </a:prstGeom>
                                        </pic:spPr>
                                      </pic:pic>
                                    </a:graphicData>
                                  </a:graphic>
                                </wp:inline>
                              </w:drawing>
                            </w:r>
                            <w:r w:rsidRPr="00022751">
                              <w:rPr>
                                <w:rStyle w:val="Heading4Char"/>
                                <w:rFonts w:ascii="Arial" w:eastAsiaTheme="minorEastAsia" w:hAnsi="Arial" w:cs="Arial"/>
                                <w:b/>
                                <w:bCs/>
                                <w:noProof/>
                                <w:color w:val="auto"/>
                                <w:sz w:val="28"/>
                                <w:szCs w:val="28"/>
                              </w:rPr>
                              <w:t xml:space="preserve">We want to hear from you about: </w:t>
                            </w:r>
                          </w:p>
                          <w:p w14:paraId="2BAE193B" w14:textId="77777777" w:rsidR="00022751" w:rsidRDefault="00022751" w:rsidP="00022751">
                            <w:pPr>
                              <w:pStyle w:val="ListBullet"/>
                            </w:pPr>
                            <w:r>
                              <w:t xml:space="preserve">How can we best </w:t>
                            </w:r>
                            <w:r w:rsidRPr="00782172">
                              <w:t>embed cultural safety for Aboriginal and Torres Strait Islander children and young people into the child safe standards</w:t>
                            </w:r>
                            <w:r>
                              <w:t xml:space="preserve"> (CSS)</w:t>
                            </w:r>
                            <w:r w:rsidRPr="00782172">
                              <w:t>? Do you prefer</w:t>
                            </w:r>
                            <w:r>
                              <w:t xml:space="preserve"> (and why):</w:t>
                            </w:r>
                          </w:p>
                          <w:p w14:paraId="510AB018" w14:textId="77777777" w:rsidR="00022751" w:rsidRDefault="00022751" w:rsidP="00022751">
                            <w:pPr>
                              <w:pStyle w:val="ListParagraph"/>
                              <w:numPr>
                                <w:ilvl w:val="0"/>
                                <w:numId w:val="18"/>
                              </w:numPr>
                              <w:spacing w:before="60" w:after="60"/>
                              <w:ind w:left="709"/>
                            </w:pPr>
                            <w:r w:rsidRPr="00782172">
                              <w:t>an additional standalone 11th CSS</w:t>
                            </w:r>
                            <w:r>
                              <w:t>,</w:t>
                            </w:r>
                            <w:r w:rsidRPr="00782172">
                              <w:t xml:space="preserve"> or</w:t>
                            </w:r>
                          </w:p>
                          <w:p w14:paraId="22126362" w14:textId="77777777" w:rsidR="00022751" w:rsidRDefault="00022751" w:rsidP="00022751">
                            <w:pPr>
                              <w:pStyle w:val="ListParagraph"/>
                              <w:numPr>
                                <w:ilvl w:val="0"/>
                                <w:numId w:val="18"/>
                              </w:numPr>
                              <w:spacing w:before="60" w:after="60"/>
                              <w:ind w:left="709"/>
                            </w:pPr>
                            <w:r w:rsidRPr="00946287">
                              <w:t>a guiding principle for cultural safety across the 10 CSS, or</w:t>
                            </w:r>
                          </w:p>
                          <w:p w14:paraId="367B7833" w14:textId="77777777" w:rsidR="00022751" w:rsidRPr="00946287" w:rsidRDefault="00022751" w:rsidP="00022751">
                            <w:pPr>
                              <w:pStyle w:val="ListParagraph"/>
                              <w:numPr>
                                <w:ilvl w:val="0"/>
                                <w:numId w:val="18"/>
                              </w:numPr>
                              <w:spacing w:before="60" w:after="120"/>
                              <w:ind w:left="709"/>
                            </w:pPr>
                            <w:r w:rsidRPr="00946287">
                              <w:t>an alternative approach?</w:t>
                            </w:r>
                          </w:p>
                          <w:p w14:paraId="39BF0EF3" w14:textId="3708D6E7" w:rsidR="00022751" w:rsidRPr="00A13AEC" w:rsidRDefault="00022751" w:rsidP="00022751">
                            <w:pPr>
                              <w:pStyle w:val="ListBullet"/>
                              <w:numPr>
                                <w:ilvl w:val="0"/>
                                <w:numId w:val="0"/>
                              </w:numPr>
                              <w:ind w:left="363"/>
                            </w:pPr>
                            <w:r w:rsidRPr="00A13AEC">
                              <w:rPr>
                                <w:rFonts w:cstheme="minorHAnsi"/>
                                <w:color w:val="000000" w:themeColor="text1"/>
                              </w:rPr>
                              <w:t xml:space="preserve">For further details </w:t>
                            </w:r>
                            <w:r w:rsidRPr="00A13AEC">
                              <w:t>on proposed approaches, see pages 4</w:t>
                            </w:r>
                            <w:r w:rsidR="00950FF6" w:rsidRPr="00A13AEC">
                              <w:t>8</w:t>
                            </w:r>
                            <w:r w:rsidRPr="00A13AEC">
                              <w:t xml:space="preserve"> </w:t>
                            </w:r>
                            <w:r w:rsidR="008A2CEF" w:rsidRPr="00A13AEC">
                              <w:t xml:space="preserve">and </w:t>
                            </w:r>
                            <w:r w:rsidR="00950FF6" w:rsidRPr="00A13AEC">
                              <w:t>49</w:t>
                            </w:r>
                            <w:r w:rsidRPr="00A13AEC">
                              <w:t xml:space="preserve"> of the Consultation Regulatory Impact Statement (CRIS).</w:t>
                            </w:r>
                          </w:p>
                          <w:p w14:paraId="71AD529F" w14:textId="69293DC6" w:rsidR="00022751" w:rsidRPr="00A13AEC" w:rsidRDefault="00022751" w:rsidP="00022751">
                            <w:pPr>
                              <w:pStyle w:val="ListBullet"/>
                            </w:pPr>
                            <w:r w:rsidRPr="00A13AEC">
                              <w:t xml:space="preserve">What support would your organisation need to apply cultural safety and best consider the diverse needs of children and young people in implementing the CSS and a reportable conduct scheme (RCS)? </w:t>
                            </w:r>
                          </w:p>
                          <w:p w14:paraId="21478F81" w14:textId="77777777" w:rsidR="00022751" w:rsidRPr="00A13AEC" w:rsidRDefault="00022751" w:rsidP="00022751">
                            <w:pPr>
                              <w:pStyle w:val="ListBullet"/>
                            </w:pPr>
                            <w:r w:rsidRPr="00A13AEC">
                              <w:t>Is there anything else we need to consider to ensure cultural safety is appropriately embedded in a Queensland child safe organisations system as a whole (comprising CSS and RCS)?</w:t>
                            </w:r>
                          </w:p>
                          <w:p w14:paraId="6E220F33" w14:textId="37788E13" w:rsidR="00022751" w:rsidRPr="00022751" w:rsidRDefault="00022751" w:rsidP="00022751">
                            <w:r w:rsidRPr="00A13AEC">
                              <w:t>For the full list of consultation questions, please see the CRIS and / or the template for feedback provided. We would like to hear from you whether you respond to all, or only some, of the questions.</w:t>
                            </w:r>
                          </w:p>
                        </w:txbxContent>
                      </wps:txbx>
                      <wps:bodyPr rot="0" vert="horz" wrap="square" lIns="91440" tIns="45720" rIns="91440" bIns="45720" anchor="t" anchorCtr="0">
                        <a:noAutofit/>
                      </wps:bodyPr>
                    </wps:wsp>
                  </a:graphicData>
                </a:graphic>
              </wp:inline>
            </w:drawing>
          </mc:Choice>
          <mc:Fallback>
            <w:pict>
              <v:shapetype w14:anchorId="4FF4D7FC" id="_x0000_t202" coordsize="21600,21600" o:spt="202" path="m,l,21600r21600,l21600,xe">
                <v:stroke joinstyle="miter"/>
                <v:path gradientshapeok="t" o:connecttype="rect"/>
              </v:shapetype>
              <v:shape id="Text Box 2" o:spid="_x0000_s1026" type="#_x0000_t202" style="width:474.1pt;height:3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" fillcolor="#b4e1e5" stroked="f" strokeweight="1pt">
                <v:textbox>
                  <w:txbxContent>
                    <w:p w14:paraId="53B074C1" w14:textId="183CC36E" w:rsidR="00022751" w:rsidRDefault="00022751" w:rsidP="00022751">
                      <w:pPr>
                        <w:spacing w:before="120" w:after="240"/>
                        <w:jc w:val="both"/>
                        <w:rPr>
                          <w:rStyle w:val="Heading4Char"/>
                          <w:rFonts w:ascii="Arial" w:eastAsiaTheme="minorEastAsia" w:hAnsi="Arial" w:cs="Arial"/>
                          <w:b/>
                          <w:bCs/>
                          <w:noProof/>
                          <w:color w:val="auto"/>
                          <w:sz w:val="28"/>
                          <w:szCs w:val="28"/>
                        </w:rPr>
                      </w:pPr>
                      <w:r>
                        <w:rPr>
                          <w:rFonts w:ascii="Gidole-Regular" w:hAnsi="Gidole-Regular" w:cs="Gidole-Regular"/>
                          <w:b/>
                          <w:bCs/>
                          <w:noProof/>
                          <w:color w:val="002060"/>
                          <w:sz w:val="32"/>
                          <w:szCs w:val="32"/>
                        </w:rPr>
                        <w:drawing>
                          <wp:inline distT="0" distB="0" distL="0" distR="0" wp14:anchorId="44251DCD" wp14:editId="5EF51E88">
                            <wp:extent cx="469127" cy="469127"/>
                            <wp:effectExtent l="0" t="0" r="0" b="7620"/>
                            <wp:docPr id="12" name="Graphic 12" descr="Person with 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erson with idea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70904" cy="470904"/>
                                    </a:xfrm>
                                    <a:prstGeom prst="rect">
                                      <a:avLst/>
                                    </a:prstGeom>
                                  </pic:spPr>
                                </pic:pic>
                              </a:graphicData>
                            </a:graphic>
                          </wp:inline>
                        </w:drawing>
                      </w:r>
                      <w:r w:rsidRPr="00022751">
                        <w:rPr>
                          <w:rStyle w:val="Heading4Char"/>
                          <w:rFonts w:ascii="Arial" w:eastAsiaTheme="minorEastAsia" w:hAnsi="Arial" w:cs="Arial"/>
                          <w:b/>
                          <w:bCs/>
                          <w:noProof/>
                          <w:color w:val="auto"/>
                          <w:sz w:val="28"/>
                          <w:szCs w:val="28"/>
                        </w:rPr>
                        <w:t xml:space="preserve">We want to hear from you about: </w:t>
                      </w:r>
                    </w:p>
                    <w:p w14:paraId="2BAE193B" w14:textId="77777777" w:rsidR="00022751" w:rsidRDefault="00022751" w:rsidP="00022751">
                      <w:pPr>
                        <w:pStyle w:val="ListBullet"/>
                      </w:pPr>
                      <w:r>
                        <w:t xml:space="preserve">How can we best </w:t>
                      </w:r>
                      <w:r w:rsidRPr="00782172">
                        <w:t>embed cultural safety for Aboriginal and Torres Strait Islander children and young people into the child safe standards</w:t>
                      </w:r>
                      <w:r>
                        <w:t xml:space="preserve"> (CSS)</w:t>
                      </w:r>
                      <w:r w:rsidRPr="00782172">
                        <w:t>? Do you prefer</w:t>
                      </w:r>
                      <w:r>
                        <w:t xml:space="preserve"> (and why):</w:t>
                      </w:r>
                    </w:p>
                    <w:p w14:paraId="510AB018" w14:textId="77777777" w:rsidR="00022751" w:rsidRDefault="00022751" w:rsidP="00022751">
                      <w:pPr>
                        <w:pStyle w:val="ListParagraph"/>
                        <w:numPr>
                          <w:ilvl w:val="0"/>
                          <w:numId w:val="18"/>
                        </w:numPr>
                        <w:spacing w:before="60" w:after="60"/>
                        <w:ind w:left="709"/>
                      </w:pPr>
                      <w:r w:rsidRPr="00782172">
                        <w:t>an additional standalone 11th CSS</w:t>
                      </w:r>
                      <w:r>
                        <w:t>,</w:t>
                      </w:r>
                      <w:r w:rsidRPr="00782172">
                        <w:t xml:space="preserve"> or</w:t>
                      </w:r>
                    </w:p>
                    <w:p w14:paraId="22126362" w14:textId="77777777" w:rsidR="00022751" w:rsidRDefault="00022751" w:rsidP="00022751">
                      <w:pPr>
                        <w:pStyle w:val="ListParagraph"/>
                        <w:numPr>
                          <w:ilvl w:val="0"/>
                          <w:numId w:val="18"/>
                        </w:numPr>
                        <w:spacing w:before="60" w:after="60"/>
                        <w:ind w:left="709"/>
                      </w:pPr>
                      <w:r w:rsidRPr="00946287">
                        <w:t>a guiding principle for cultural safety across the 10 CSS, or</w:t>
                      </w:r>
                    </w:p>
                    <w:p w14:paraId="367B7833" w14:textId="77777777" w:rsidR="00022751" w:rsidRPr="00946287" w:rsidRDefault="00022751" w:rsidP="00022751">
                      <w:pPr>
                        <w:pStyle w:val="ListParagraph"/>
                        <w:numPr>
                          <w:ilvl w:val="0"/>
                          <w:numId w:val="18"/>
                        </w:numPr>
                        <w:spacing w:before="60" w:after="120"/>
                        <w:ind w:left="709"/>
                      </w:pPr>
                      <w:r w:rsidRPr="00946287">
                        <w:t>an alternative approach?</w:t>
                      </w:r>
                    </w:p>
                    <w:p w14:paraId="39BF0EF3" w14:textId="3708D6E7" w:rsidR="00022751" w:rsidRPr="00A13AEC" w:rsidRDefault="00022751" w:rsidP="00022751">
                      <w:pPr>
                        <w:pStyle w:val="ListBullet"/>
                        <w:numPr>
                          <w:ilvl w:val="0"/>
                          <w:numId w:val="0"/>
                        </w:numPr>
                        <w:ind w:left="363"/>
                      </w:pPr>
                      <w:r w:rsidRPr="00A13AEC">
                        <w:rPr>
                          <w:rFonts w:cstheme="minorHAnsi"/>
                          <w:color w:val="000000" w:themeColor="text1"/>
                        </w:rPr>
                        <w:t xml:space="preserve">For further details </w:t>
                      </w:r>
                      <w:r w:rsidRPr="00A13AEC">
                        <w:t>on proposed approaches, see pages 4</w:t>
                      </w:r>
                      <w:r w:rsidR="00950FF6" w:rsidRPr="00A13AEC">
                        <w:t>8</w:t>
                      </w:r>
                      <w:r w:rsidRPr="00A13AEC">
                        <w:t xml:space="preserve"> </w:t>
                      </w:r>
                      <w:r w:rsidR="008A2CEF" w:rsidRPr="00A13AEC">
                        <w:t xml:space="preserve">and </w:t>
                      </w:r>
                      <w:r w:rsidR="00950FF6" w:rsidRPr="00A13AEC">
                        <w:t>49</w:t>
                      </w:r>
                      <w:r w:rsidRPr="00A13AEC">
                        <w:t xml:space="preserve"> of the Consultation Regulatory Impact Statement (CRIS).</w:t>
                      </w:r>
                    </w:p>
                    <w:p w14:paraId="71AD529F" w14:textId="69293DC6" w:rsidR="00022751" w:rsidRPr="00A13AEC" w:rsidRDefault="00022751" w:rsidP="00022751">
                      <w:pPr>
                        <w:pStyle w:val="ListBullet"/>
                      </w:pPr>
                      <w:r w:rsidRPr="00A13AEC">
                        <w:t xml:space="preserve">What support would your organisation need to apply cultural safety and best consider the diverse needs of children and young people in implementing the CSS and a reportable conduct scheme (RCS)? </w:t>
                      </w:r>
                    </w:p>
                    <w:p w14:paraId="21478F81" w14:textId="77777777" w:rsidR="00022751" w:rsidRPr="00A13AEC" w:rsidRDefault="00022751" w:rsidP="00022751">
                      <w:pPr>
                        <w:pStyle w:val="ListBullet"/>
                      </w:pPr>
                      <w:r w:rsidRPr="00A13AEC">
                        <w:t xml:space="preserve">Is there anything else we need to consider </w:t>
                      </w:r>
                      <w:proofErr w:type="gramStart"/>
                      <w:r w:rsidRPr="00A13AEC">
                        <w:t>to ensure</w:t>
                      </w:r>
                      <w:proofErr w:type="gramEnd"/>
                      <w:r w:rsidRPr="00A13AEC">
                        <w:t xml:space="preserve"> cultural safety is appropriately embedded in a Queensland child safe organisations system as a whole (comprising CSS and RCS)?</w:t>
                      </w:r>
                    </w:p>
                    <w:p w14:paraId="6E220F33" w14:textId="37788E13" w:rsidR="00022751" w:rsidRPr="00022751" w:rsidRDefault="00022751" w:rsidP="00022751">
                      <w:r w:rsidRPr="00A13AEC">
                        <w:t>For the full list of consultation questions, please see the CRIS and / or the template for feedback provided. We would like to hear from you whether you respond to all, or only some, of the questions.</w:t>
                      </w:r>
                    </w:p>
                  </w:txbxContent>
                </v:textbox>
                <w10:anchorlock/>
              </v:shape>
            </w:pict>
          </mc:Fallback>
        </mc:AlternateContent>
      </w:r>
    </w:p>
    <w:p w14:paraId="50E44AA9" w14:textId="685260AF" w:rsidR="003511D5" w:rsidRPr="00022751" w:rsidRDefault="003511D5" w:rsidP="00022751">
      <w:pPr>
        <w:pStyle w:val="Heading2"/>
      </w:pPr>
      <w:r w:rsidRPr="00022751">
        <w:t xml:space="preserve">Recognising diversity in child safe </w:t>
      </w:r>
      <w:r w:rsidR="00301C9A" w:rsidRPr="00022751">
        <w:t xml:space="preserve">organisations system </w:t>
      </w:r>
      <w:r w:rsidRPr="00022751">
        <w:t xml:space="preserve"> </w:t>
      </w:r>
    </w:p>
    <w:p w14:paraId="307EFD46" w14:textId="6C4319A0" w:rsidR="003511D5" w:rsidRPr="00F22E65" w:rsidRDefault="003511D5" w:rsidP="00022751">
      <w:r w:rsidRPr="00F22E65">
        <w:t>We acknowledge that children i</w:t>
      </w:r>
      <w:r w:rsidR="00301C9A" w:rsidRPr="00F22E65">
        <w:t>n</w:t>
      </w:r>
      <w:r w:rsidRPr="00F22E65">
        <w:t xml:space="preserve"> Queensland have a range of diverse needs </w:t>
      </w:r>
      <w:r w:rsidR="00910968">
        <w:t>that</w:t>
      </w:r>
      <w:r w:rsidR="00910968" w:rsidRPr="00F22E65">
        <w:t xml:space="preserve"> </w:t>
      </w:r>
      <w:r w:rsidR="00301C9A" w:rsidRPr="00F22E65">
        <w:t xml:space="preserve">must be accommodated in a child safe organisations system. Pages </w:t>
      </w:r>
      <w:r w:rsidR="00742074">
        <w:t>50 to 51</w:t>
      </w:r>
      <w:r w:rsidR="00301C9A" w:rsidRPr="00A13AEC">
        <w:t xml:space="preserve"> </w:t>
      </w:r>
      <w:r w:rsidR="00073CA6" w:rsidRPr="00A13AEC">
        <w:t>of</w:t>
      </w:r>
      <w:r w:rsidR="00073CA6" w:rsidRPr="00F22E65">
        <w:t xml:space="preserve"> the CRIS </w:t>
      </w:r>
      <w:r w:rsidR="00301C9A" w:rsidRPr="00F22E65">
        <w:t xml:space="preserve">explore </w:t>
      </w:r>
      <w:r w:rsidRPr="00F22E65">
        <w:t xml:space="preserve">cultural safety </w:t>
      </w:r>
      <w:r w:rsidR="00301C9A" w:rsidRPr="00F22E65">
        <w:t xml:space="preserve">for </w:t>
      </w:r>
      <w:r w:rsidRPr="00F22E65">
        <w:t>children from culturally and linguistically diverse backgrounds</w:t>
      </w:r>
      <w:r w:rsidR="00301C9A" w:rsidRPr="00F22E65">
        <w:t xml:space="preserve"> as well as the needs of children with disability, very young children, children with previous experiences of trauma, and lesbian, gay, bisexual, transgender and intersex children.</w:t>
      </w:r>
    </w:p>
    <w:p w14:paraId="62772334" w14:textId="02B0A474" w:rsidR="004E734F" w:rsidRPr="00F22E65" w:rsidRDefault="004E734F" w:rsidP="00022751">
      <w:r w:rsidRPr="00F22E65">
        <w:t>It is expected that as part of its role to educat</w:t>
      </w:r>
      <w:r w:rsidR="00910968">
        <w:t>e</w:t>
      </w:r>
      <w:r w:rsidRPr="00F22E65">
        <w:t xml:space="preserve"> and support organisations, an oversight body for a Queensland child safe organisations system would also provide guidance on culturally safe practices</w:t>
      </w:r>
      <w:r w:rsidR="000956C9">
        <w:t xml:space="preserve"> and recognising diversity. </w:t>
      </w:r>
    </w:p>
    <w:sectPr w:rsidR="004E734F" w:rsidRPr="00F22E65" w:rsidSect="00022751">
      <w:headerReference w:type="default" r:id="rId12"/>
      <w:footerReference w:type="default" r:id="rId13"/>
      <w:pgSz w:w="11906" w:h="16838"/>
      <w:pgMar w:top="709" w:right="992" w:bottom="1247" w:left="992"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A280" w14:textId="77777777" w:rsidR="0059425C" w:rsidRDefault="0059425C" w:rsidP="00080359">
      <w:pPr>
        <w:spacing w:line="240" w:lineRule="auto"/>
      </w:pPr>
      <w:r>
        <w:separator/>
      </w:r>
    </w:p>
  </w:endnote>
  <w:endnote w:type="continuationSeparator" w:id="0">
    <w:p w14:paraId="4E37DC47" w14:textId="77777777" w:rsidR="0059425C" w:rsidRDefault="0059425C" w:rsidP="00080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HelveticaNeue-LightCond">
    <w:altName w:val="Arial"/>
    <w:panose1 w:val="00000000000000000000"/>
    <w:charset w:val="00"/>
    <w:family w:val="swiss"/>
    <w:notTrueType/>
    <w:pitch w:val="default"/>
    <w:sig w:usb0="00000003" w:usb1="00000000" w:usb2="00000000" w:usb3="00000000" w:csb0="00000001" w:csb1="00000000"/>
  </w:font>
  <w:font w:name="Gidole-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1C92" w14:textId="5AC5E0CC" w:rsidR="00022751" w:rsidRPr="00022751" w:rsidRDefault="00022751" w:rsidP="00022751">
    <w:pPr>
      <w:pStyle w:val="Footer"/>
      <w:tabs>
        <w:tab w:val="clear" w:pos="4513"/>
        <w:tab w:val="clear" w:pos="9026"/>
        <w:tab w:val="right" w:pos="9922"/>
      </w:tabs>
      <w:rPr>
        <w:rFonts w:cs="Arial"/>
        <w:szCs w:val="20"/>
      </w:rPr>
    </w:pPr>
    <w:r w:rsidRPr="00022751">
      <w:rPr>
        <w:rFonts w:cs="Arial"/>
        <w:noProof/>
        <w:sz w:val="18"/>
        <w:szCs w:val="18"/>
        <w:lang w:eastAsia="en-AU"/>
      </w:rPr>
      <w:drawing>
        <wp:anchor distT="0" distB="0" distL="114300" distR="114300" simplePos="0" relativeHeight="251665408" behindDoc="1" locked="0" layoutInCell="1" allowOverlap="1" wp14:anchorId="405BCC47" wp14:editId="56E5A209">
          <wp:simplePos x="0" y="0"/>
          <wp:positionH relativeFrom="page">
            <wp:align>left</wp:align>
          </wp:positionH>
          <wp:positionV relativeFrom="paragraph">
            <wp:posOffset>496323</wp:posOffset>
          </wp:positionV>
          <wp:extent cx="7556144" cy="151130"/>
          <wp:effectExtent l="0" t="0" r="698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57-header-bar.jpg"/>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56144" cy="151130"/>
                  </a:xfrm>
                  <a:prstGeom prst="rect">
                    <a:avLst/>
                  </a:prstGeom>
                </pic:spPr>
              </pic:pic>
            </a:graphicData>
          </a:graphic>
          <wp14:sizeRelH relativeFrom="margin">
            <wp14:pctWidth>0</wp14:pctWidth>
          </wp14:sizeRelH>
          <wp14:sizeRelV relativeFrom="margin">
            <wp14:pctHeight>0</wp14:pctHeight>
          </wp14:sizeRelV>
        </wp:anchor>
      </w:drawing>
    </w:r>
    <w:r w:rsidRPr="00022751">
      <w:rPr>
        <w:rFonts w:cs="Arial"/>
        <w:b/>
        <w:bCs/>
        <w:sz w:val="18"/>
        <w:szCs w:val="20"/>
      </w:rPr>
      <w:t>Growing child safe organisations in Queensland |</w:t>
    </w:r>
    <w:r w:rsidRPr="00022751">
      <w:rPr>
        <w:rFonts w:cs="Arial"/>
        <w:sz w:val="18"/>
        <w:szCs w:val="20"/>
      </w:rPr>
      <w:t xml:space="preserve"> Consultation Regulatory Impact Statement</w:t>
    </w:r>
    <w:r w:rsidRPr="00022751">
      <w:rPr>
        <w:rFonts w:cs="Arial"/>
        <w:sz w:val="18"/>
        <w:szCs w:val="20"/>
      </w:rPr>
      <w:br/>
    </w:r>
    <w:r w:rsidRPr="00022751">
      <w:rPr>
        <w:rFonts w:cs="Arial"/>
        <w:sz w:val="18"/>
        <w:szCs w:val="18"/>
      </w:rPr>
      <w:t>Supplementary material 2</w:t>
    </w:r>
    <w:r w:rsidRPr="00022751">
      <w:rPr>
        <w:rFonts w:cs="Arial"/>
        <w:szCs w:val="20"/>
      </w:rPr>
      <w:tab/>
    </w:r>
    <w:r w:rsidRPr="00022751">
      <w:rPr>
        <w:rFonts w:cs="Arial"/>
        <w:szCs w:val="20"/>
      </w:rPr>
      <w:fldChar w:fldCharType="begin"/>
    </w:r>
    <w:r w:rsidRPr="00022751">
      <w:rPr>
        <w:rFonts w:cs="Arial"/>
        <w:szCs w:val="20"/>
      </w:rPr>
      <w:instrText xml:space="preserve"> PAGE   \* MERGEFORMAT </w:instrText>
    </w:r>
    <w:r w:rsidRPr="00022751">
      <w:rPr>
        <w:rFonts w:cs="Arial"/>
        <w:szCs w:val="20"/>
      </w:rPr>
      <w:fldChar w:fldCharType="separate"/>
    </w:r>
    <w:r w:rsidRPr="00022751">
      <w:rPr>
        <w:rFonts w:cs="Arial"/>
        <w:szCs w:val="20"/>
      </w:rPr>
      <w:t>1</w:t>
    </w:r>
    <w:r w:rsidRPr="00022751">
      <w:rPr>
        <w:rFonts w:cs="Arial"/>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8B85" w14:textId="77777777" w:rsidR="0059425C" w:rsidRDefault="0059425C" w:rsidP="00080359">
      <w:pPr>
        <w:spacing w:line="240" w:lineRule="auto"/>
      </w:pPr>
      <w:r>
        <w:separator/>
      </w:r>
    </w:p>
  </w:footnote>
  <w:footnote w:type="continuationSeparator" w:id="0">
    <w:p w14:paraId="606A00A6" w14:textId="77777777" w:rsidR="0059425C" w:rsidRDefault="0059425C" w:rsidP="00080359">
      <w:pPr>
        <w:spacing w:line="240" w:lineRule="auto"/>
      </w:pPr>
      <w:r>
        <w:continuationSeparator/>
      </w:r>
    </w:p>
  </w:footnote>
  <w:footnote w:id="1">
    <w:p w14:paraId="4491400F" w14:textId="7CAB23EB" w:rsidR="00E40502" w:rsidRPr="00A13AEC" w:rsidRDefault="00E40502" w:rsidP="00E40502">
      <w:pPr>
        <w:pStyle w:val="FootnoteText"/>
        <w:spacing w:before="0"/>
        <w:rPr>
          <w:rFonts w:cstheme="minorHAnsi"/>
          <w:sz w:val="16"/>
          <w:szCs w:val="16"/>
        </w:rPr>
      </w:pPr>
      <w:r w:rsidRPr="00A13AEC">
        <w:rPr>
          <w:rStyle w:val="FootnoteReference"/>
          <w:rFonts w:cstheme="minorHAnsi"/>
          <w:sz w:val="16"/>
          <w:szCs w:val="16"/>
        </w:rPr>
        <w:footnoteRef/>
      </w:r>
      <w:r w:rsidRPr="00A13AEC">
        <w:rPr>
          <w:rFonts w:cstheme="minorHAnsi"/>
          <w:sz w:val="16"/>
          <w:szCs w:val="16"/>
        </w:rPr>
        <w:t xml:space="preserve"> Royal Commission </w:t>
      </w:r>
      <w:r w:rsidR="00D426BA" w:rsidRPr="00A13AEC">
        <w:rPr>
          <w:rFonts w:cstheme="minorHAnsi"/>
          <w:sz w:val="16"/>
          <w:szCs w:val="16"/>
        </w:rPr>
        <w:t xml:space="preserve">into Institutional Responses to Child Sexual Abuse, </w:t>
      </w:r>
      <w:r w:rsidRPr="00A13AEC">
        <w:rPr>
          <w:rFonts w:cstheme="minorHAnsi"/>
          <w:i/>
          <w:iCs/>
          <w:sz w:val="16"/>
          <w:szCs w:val="16"/>
        </w:rPr>
        <w:t>Final Report</w:t>
      </w:r>
      <w:r w:rsidR="00D426BA" w:rsidRPr="00A13AEC">
        <w:rPr>
          <w:rFonts w:cstheme="minorHAnsi"/>
          <w:i/>
          <w:iCs/>
          <w:sz w:val="16"/>
          <w:szCs w:val="16"/>
        </w:rPr>
        <w:t xml:space="preserve"> Volume 6: </w:t>
      </w:r>
      <w:r w:rsidR="00D426BA" w:rsidRPr="008A2CEF">
        <w:rPr>
          <w:rFonts w:cstheme="minorHAnsi"/>
          <w:i/>
          <w:iCs/>
          <w:sz w:val="16"/>
          <w:szCs w:val="16"/>
        </w:rPr>
        <w:t xml:space="preserve">Making institutions child safe, </w:t>
      </w:r>
      <w:r w:rsidR="00D426BA" w:rsidRPr="008A2CEF">
        <w:rPr>
          <w:rFonts w:cstheme="minorHAnsi"/>
          <w:sz w:val="16"/>
          <w:szCs w:val="16"/>
        </w:rPr>
        <w:t xml:space="preserve">Sydney, 2017, page </w:t>
      </w:r>
      <w:r w:rsidRPr="00A13AEC">
        <w:rPr>
          <w:rFonts w:cstheme="minorHAnsi"/>
          <w:sz w:val="16"/>
          <w:szCs w:val="16"/>
        </w:rPr>
        <w:t>176.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9EF5" w14:textId="47C956C3" w:rsidR="004A2460" w:rsidRDefault="002C6249">
    <w:pPr>
      <w:pStyle w:val="Header"/>
    </w:pPr>
    <w:r w:rsidRPr="005E12A1">
      <w:rPr>
        <w:noProof/>
        <w:color w:val="FF0000"/>
        <w:lang w:eastAsia="en-AU"/>
      </w:rPr>
      <w:drawing>
        <wp:anchor distT="0" distB="0" distL="114300" distR="114300" simplePos="0" relativeHeight="251663360" behindDoc="1" locked="0" layoutInCell="1" allowOverlap="1" wp14:anchorId="0B259031" wp14:editId="3B195E93">
          <wp:simplePos x="0" y="0"/>
          <wp:positionH relativeFrom="page">
            <wp:align>right</wp:align>
          </wp:positionH>
          <wp:positionV relativeFrom="paragraph">
            <wp:posOffset>-445466</wp:posOffset>
          </wp:positionV>
          <wp:extent cx="7555865" cy="151130"/>
          <wp:effectExtent l="0" t="0" r="698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57-header-bar.jpg"/>
                  <pic:cNvPicPr/>
                </pic:nvPicPr>
                <pic:blipFill>
                  <a:blip r:embed="rId1">
                    <a:extLst>
                      <a:ext uri="{28A0092B-C50C-407E-A947-70E740481C1C}">
                        <a14:useLocalDpi xmlns:a14="http://schemas.microsoft.com/office/drawing/2010/main" val="0"/>
                      </a:ext>
                    </a:extLst>
                  </a:blip>
                  <a:stretch>
                    <a:fillRect/>
                  </a:stretch>
                </pic:blipFill>
                <pic:spPr>
                  <a:xfrm>
                    <a:off x="0" y="0"/>
                    <a:ext cx="7555865" cy="151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352025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B65C8D"/>
    <w:multiLevelType w:val="hybridMultilevel"/>
    <w:tmpl w:val="9D0C75C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D07568"/>
    <w:multiLevelType w:val="hybridMultilevel"/>
    <w:tmpl w:val="DF50A5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78455A3"/>
    <w:multiLevelType w:val="hybridMultilevel"/>
    <w:tmpl w:val="25AA68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087CBB"/>
    <w:multiLevelType w:val="hybridMultilevel"/>
    <w:tmpl w:val="ED2064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6083701"/>
    <w:multiLevelType w:val="hybridMultilevel"/>
    <w:tmpl w:val="919A4D36"/>
    <w:lvl w:ilvl="0" w:tplc="83D8702A">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 w15:restartNumberingAfterBreak="0">
    <w:nsid w:val="2C200EF3"/>
    <w:multiLevelType w:val="hybridMultilevel"/>
    <w:tmpl w:val="C2221BAC"/>
    <w:lvl w:ilvl="0" w:tplc="0C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8B82CB6"/>
    <w:multiLevelType w:val="hybridMultilevel"/>
    <w:tmpl w:val="06262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907712"/>
    <w:multiLevelType w:val="hybridMultilevel"/>
    <w:tmpl w:val="959E31E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55ED210B"/>
    <w:multiLevelType w:val="hybridMultilevel"/>
    <w:tmpl w:val="438A8410"/>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6FA0C4E"/>
    <w:multiLevelType w:val="hybridMultilevel"/>
    <w:tmpl w:val="F3FA64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5C6F19"/>
    <w:multiLevelType w:val="hybridMultilevel"/>
    <w:tmpl w:val="77F8D032"/>
    <w:lvl w:ilvl="0" w:tplc="A8CC0F6E">
      <w:start w:val="1"/>
      <w:numFmt w:val="bullet"/>
      <w:pStyle w:val="List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08B6F75"/>
    <w:multiLevelType w:val="hybridMultilevel"/>
    <w:tmpl w:val="883853E2"/>
    <w:lvl w:ilvl="0" w:tplc="7CAEBAB8">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63B56788"/>
    <w:multiLevelType w:val="hybridMultilevel"/>
    <w:tmpl w:val="F3C681CE"/>
    <w:lvl w:ilvl="0" w:tplc="0C09000F">
      <w:start w:val="1"/>
      <w:numFmt w:val="decimal"/>
      <w:lvlText w:val="%1."/>
      <w:lvlJc w:val="left"/>
      <w:pPr>
        <w:ind w:left="785" w:hanging="360"/>
      </w:pPr>
      <w:rPr>
        <w:rFonts w:hint="default"/>
        <w:color w:val="auto"/>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4" w15:restartNumberingAfterBreak="0">
    <w:nsid w:val="6A3664CF"/>
    <w:multiLevelType w:val="hybridMultilevel"/>
    <w:tmpl w:val="2E1C5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E460E5"/>
    <w:multiLevelType w:val="hybridMultilevel"/>
    <w:tmpl w:val="0AEC4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3D6BD8"/>
    <w:multiLevelType w:val="hybridMultilevel"/>
    <w:tmpl w:val="F3FA6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F976D0"/>
    <w:multiLevelType w:val="hybridMultilevel"/>
    <w:tmpl w:val="83CCA4D6"/>
    <w:lvl w:ilvl="0" w:tplc="4F12EE2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845286">
    <w:abstractNumId w:val="7"/>
  </w:num>
  <w:num w:numId="2" w16cid:durableId="42364767">
    <w:abstractNumId w:val="13"/>
  </w:num>
  <w:num w:numId="3" w16cid:durableId="29577243">
    <w:abstractNumId w:val="9"/>
  </w:num>
  <w:num w:numId="4" w16cid:durableId="151725712">
    <w:abstractNumId w:val="14"/>
  </w:num>
  <w:num w:numId="5" w16cid:durableId="1810049880">
    <w:abstractNumId w:val="4"/>
  </w:num>
  <w:num w:numId="6" w16cid:durableId="508451094">
    <w:abstractNumId w:val="2"/>
  </w:num>
  <w:num w:numId="7" w16cid:durableId="86267000">
    <w:abstractNumId w:val="15"/>
  </w:num>
  <w:num w:numId="8" w16cid:durableId="1981036566">
    <w:abstractNumId w:val="17"/>
  </w:num>
  <w:num w:numId="9" w16cid:durableId="980619645">
    <w:abstractNumId w:val="16"/>
  </w:num>
  <w:num w:numId="10" w16cid:durableId="1358388768">
    <w:abstractNumId w:val="3"/>
  </w:num>
  <w:num w:numId="11" w16cid:durableId="381758236">
    <w:abstractNumId w:val="10"/>
  </w:num>
  <w:num w:numId="12" w16cid:durableId="545141361">
    <w:abstractNumId w:val="12"/>
  </w:num>
  <w:num w:numId="13" w16cid:durableId="1642227600">
    <w:abstractNumId w:val="5"/>
  </w:num>
  <w:num w:numId="14" w16cid:durableId="1242178358">
    <w:abstractNumId w:val="1"/>
  </w:num>
  <w:num w:numId="15" w16cid:durableId="634063873">
    <w:abstractNumId w:val="11"/>
  </w:num>
  <w:num w:numId="16" w16cid:durableId="712116103">
    <w:abstractNumId w:val="6"/>
  </w:num>
  <w:num w:numId="17" w16cid:durableId="985428589">
    <w:abstractNumId w:val="0"/>
  </w:num>
  <w:num w:numId="18" w16cid:durableId="1097940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0D"/>
    <w:rsid w:val="00022751"/>
    <w:rsid w:val="000246BA"/>
    <w:rsid w:val="00033FD6"/>
    <w:rsid w:val="00047A34"/>
    <w:rsid w:val="000550BD"/>
    <w:rsid w:val="00062B0B"/>
    <w:rsid w:val="00073CA6"/>
    <w:rsid w:val="00080359"/>
    <w:rsid w:val="000956C9"/>
    <w:rsid w:val="000B3E09"/>
    <w:rsid w:val="000C6963"/>
    <w:rsid w:val="000D25B4"/>
    <w:rsid w:val="00127752"/>
    <w:rsid w:val="001551F8"/>
    <w:rsid w:val="001907E1"/>
    <w:rsid w:val="00190901"/>
    <w:rsid w:val="0019243A"/>
    <w:rsid w:val="001D35E5"/>
    <w:rsid w:val="0021404D"/>
    <w:rsid w:val="002A7906"/>
    <w:rsid w:val="002B22EC"/>
    <w:rsid w:val="002C6249"/>
    <w:rsid w:val="00301977"/>
    <w:rsid w:val="00301C9A"/>
    <w:rsid w:val="00313CC2"/>
    <w:rsid w:val="00340DFF"/>
    <w:rsid w:val="00347E07"/>
    <w:rsid w:val="003511D5"/>
    <w:rsid w:val="003761B7"/>
    <w:rsid w:val="003923F9"/>
    <w:rsid w:val="003B08B5"/>
    <w:rsid w:val="003D0861"/>
    <w:rsid w:val="003F2E16"/>
    <w:rsid w:val="00431363"/>
    <w:rsid w:val="00446941"/>
    <w:rsid w:val="0045557E"/>
    <w:rsid w:val="00476BF7"/>
    <w:rsid w:val="004A2460"/>
    <w:rsid w:val="004B5B61"/>
    <w:rsid w:val="004C05C5"/>
    <w:rsid w:val="004E734F"/>
    <w:rsid w:val="00522C43"/>
    <w:rsid w:val="00536F82"/>
    <w:rsid w:val="00546FBA"/>
    <w:rsid w:val="0056696D"/>
    <w:rsid w:val="0059425C"/>
    <w:rsid w:val="005B6886"/>
    <w:rsid w:val="005C7D62"/>
    <w:rsid w:val="005E4554"/>
    <w:rsid w:val="005F59CB"/>
    <w:rsid w:val="006339AA"/>
    <w:rsid w:val="00643339"/>
    <w:rsid w:val="006728A2"/>
    <w:rsid w:val="00687AFD"/>
    <w:rsid w:val="006B54E3"/>
    <w:rsid w:val="006C1906"/>
    <w:rsid w:val="006D1A84"/>
    <w:rsid w:val="00742074"/>
    <w:rsid w:val="00754587"/>
    <w:rsid w:val="00782172"/>
    <w:rsid w:val="00796D5D"/>
    <w:rsid w:val="00825F82"/>
    <w:rsid w:val="008378CE"/>
    <w:rsid w:val="0085542A"/>
    <w:rsid w:val="00884B07"/>
    <w:rsid w:val="008A2CEF"/>
    <w:rsid w:val="008A5152"/>
    <w:rsid w:val="008A558F"/>
    <w:rsid w:val="008C3EFD"/>
    <w:rsid w:val="008F50AC"/>
    <w:rsid w:val="008F6291"/>
    <w:rsid w:val="0090071F"/>
    <w:rsid w:val="00910968"/>
    <w:rsid w:val="0091471D"/>
    <w:rsid w:val="009209AD"/>
    <w:rsid w:val="0093430B"/>
    <w:rsid w:val="009444A1"/>
    <w:rsid w:val="00946287"/>
    <w:rsid w:val="009475DA"/>
    <w:rsid w:val="00950386"/>
    <w:rsid w:val="00950FF6"/>
    <w:rsid w:val="00982BB5"/>
    <w:rsid w:val="00985EF7"/>
    <w:rsid w:val="00987C21"/>
    <w:rsid w:val="009A07AC"/>
    <w:rsid w:val="00A13AEC"/>
    <w:rsid w:val="00AE0A39"/>
    <w:rsid w:val="00B05579"/>
    <w:rsid w:val="00BC4247"/>
    <w:rsid w:val="00BE34DF"/>
    <w:rsid w:val="00C020F8"/>
    <w:rsid w:val="00C02E13"/>
    <w:rsid w:val="00C26F26"/>
    <w:rsid w:val="00C9071E"/>
    <w:rsid w:val="00CA432E"/>
    <w:rsid w:val="00CD0C95"/>
    <w:rsid w:val="00CD38DB"/>
    <w:rsid w:val="00CF431E"/>
    <w:rsid w:val="00D0254E"/>
    <w:rsid w:val="00D35DBE"/>
    <w:rsid w:val="00D426BA"/>
    <w:rsid w:val="00D4411B"/>
    <w:rsid w:val="00DD0461"/>
    <w:rsid w:val="00E03877"/>
    <w:rsid w:val="00E049A6"/>
    <w:rsid w:val="00E35623"/>
    <w:rsid w:val="00E40502"/>
    <w:rsid w:val="00E51EEE"/>
    <w:rsid w:val="00EB7E47"/>
    <w:rsid w:val="00EC4C7F"/>
    <w:rsid w:val="00EE690D"/>
    <w:rsid w:val="00F22E65"/>
    <w:rsid w:val="00F31F23"/>
    <w:rsid w:val="00F31F6C"/>
    <w:rsid w:val="00F472EF"/>
    <w:rsid w:val="00F6498B"/>
    <w:rsid w:val="00F76548"/>
    <w:rsid w:val="00F821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A8683"/>
  <w15:chartTrackingRefBased/>
  <w15:docId w15:val="{291B909D-DB19-4556-9FB5-B0FD6976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906"/>
    <w:pPr>
      <w:spacing w:before="160" w:after="0"/>
    </w:pPr>
    <w:rPr>
      <w:rFonts w:ascii="Arial" w:hAnsi="Arial"/>
    </w:rPr>
  </w:style>
  <w:style w:type="paragraph" w:styleId="Heading1">
    <w:name w:val="heading 1"/>
    <w:basedOn w:val="Normal"/>
    <w:next w:val="Normal"/>
    <w:link w:val="Heading1Char"/>
    <w:uiPriority w:val="9"/>
    <w:qFormat/>
    <w:rsid w:val="00022751"/>
    <w:pPr>
      <w:keepNext/>
      <w:keepLines/>
      <w:spacing w:before="240" w:after="240"/>
      <w:outlineLvl w:val="0"/>
    </w:pPr>
    <w:rPr>
      <w:rFonts w:eastAsiaTheme="majorEastAsia" w:cs="Times New Roman (Headings CS)"/>
      <w:b/>
      <w:sz w:val="40"/>
      <w:szCs w:val="36"/>
    </w:rPr>
  </w:style>
  <w:style w:type="paragraph" w:styleId="Heading2">
    <w:name w:val="heading 2"/>
    <w:basedOn w:val="Normal"/>
    <w:next w:val="Normal"/>
    <w:link w:val="Heading2Char"/>
    <w:uiPriority w:val="9"/>
    <w:unhideWhenUsed/>
    <w:qFormat/>
    <w:rsid w:val="00022751"/>
    <w:pPr>
      <w:keepNext/>
      <w:keepLines/>
      <w:spacing w:before="240" w:after="240"/>
      <w:outlineLvl w:val="1"/>
    </w:pPr>
    <w:rPr>
      <w:rFonts w:eastAsiaTheme="majorEastAsia" w:cstheme="majorBidi"/>
      <w:b/>
      <w:color w:val="133B61"/>
      <w:sz w:val="36"/>
      <w:szCs w:val="32"/>
    </w:rPr>
  </w:style>
  <w:style w:type="paragraph" w:styleId="Heading4">
    <w:name w:val="heading 4"/>
    <w:basedOn w:val="Normal"/>
    <w:next w:val="Normal"/>
    <w:link w:val="Heading4Char"/>
    <w:uiPriority w:val="9"/>
    <w:unhideWhenUsed/>
    <w:qFormat/>
    <w:rsid w:val="00080359"/>
    <w:pPr>
      <w:keepNext/>
      <w:keepLines/>
      <w:spacing w:before="40"/>
      <w:outlineLvl w:val="3"/>
    </w:pPr>
    <w:rPr>
      <w:rFonts w:asciiTheme="majorHAnsi" w:eastAsiaTheme="majorEastAsia" w:hAnsiTheme="majorHAnsi" w:cstheme="majorBidi"/>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Recommendation,Bullet point,Bullets,NAST Quote,L,CV text,Table text,F5 List Paragraph,Dot pt,List Paragraph111,Medium Grid 1 - Accent 21,Numbered Paragraph,List Paragraph2,NFP GP Bulleted List,列"/>
    <w:basedOn w:val="Normal"/>
    <w:link w:val="ListParagraphChar"/>
    <w:uiPriority w:val="34"/>
    <w:qFormat/>
    <w:rsid w:val="003F2E16"/>
    <w:pPr>
      <w:ind w:left="720"/>
      <w:contextualSpacing/>
    </w:pPr>
  </w:style>
  <w:style w:type="character" w:styleId="CommentReference">
    <w:name w:val="annotation reference"/>
    <w:basedOn w:val="DefaultParagraphFont"/>
    <w:uiPriority w:val="99"/>
    <w:semiHidden/>
    <w:unhideWhenUsed/>
    <w:rsid w:val="00C020F8"/>
    <w:rPr>
      <w:sz w:val="16"/>
      <w:szCs w:val="16"/>
    </w:rPr>
  </w:style>
  <w:style w:type="paragraph" w:styleId="CommentText">
    <w:name w:val="annotation text"/>
    <w:basedOn w:val="Normal"/>
    <w:link w:val="CommentTextChar"/>
    <w:uiPriority w:val="99"/>
    <w:semiHidden/>
    <w:unhideWhenUsed/>
    <w:rsid w:val="00C020F8"/>
    <w:pPr>
      <w:spacing w:line="240" w:lineRule="auto"/>
    </w:pPr>
    <w:rPr>
      <w:sz w:val="20"/>
      <w:szCs w:val="20"/>
    </w:rPr>
  </w:style>
  <w:style w:type="character" w:customStyle="1" w:styleId="CommentTextChar">
    <w:name w:val="Comment Text Char"/>
    <w:basedOn w:val="DefaultParagraphFont"/>
    <w:link w:val="CommentText"/>
    <w:uiPriority w:val="99"/>
    <w:semiHidden/>
    <w:rsid w:val="00C020F8"/>
    <w:rPr>
      <w:sz w:val="20"/>
      <w:szCs w:val="20"/>
    </w:rPr>
  </w:style>
  <w:style w:type="paragraph" w:styleId="CommentSubject">
    <w:name w:val="annotation subject"/>
    <w:basedOn w:val="CommentText"/>
    <w:next w:val="CommentText"/>
    <w:link w:val="CommentSubjectChar"/>
    <w:uiPriority w:val="99"/>
    <w:semiHidden/>
    <w:unhideWhenUsed/>
    <w:rsid w:val="00C020F8"/>
    <w:rPr>
      <w:b/>
      <w:bCs/>
    </w:rPr>
  </w:style>
  <w:style w:type="character" w:customStyle="1" w:styleId="CommentSubjectChar">
    <w:name w:val="Comment Subject Char"/>
    <w:basedOn w:val="CommentTextChar"/>
    <w:link w:val="CommentSubject"/>
    <w:uiPriority w:val="99"/>
    <w:semiHidden/>
    <w:rsid w:val="00C020F8"/>
    <w:rPr>
      <w:b/>
      <w:bCs/>
      <w:sz w:val="20"/>
      <w:szCs w:val="20"/>
    </w:rPr>
  </w:style>
  <w:style w:type="character" w:customStyle="1" w:styleId="Heading4Char">
    <w:name w:val="Heading 4 Char"/>
    <w:basedOn w:val="DefaultParagraphFont"/>
    <w:link w:val="Heading4"/>
    <w:uiPriority w:val="9"/>
    <w:rsid w:val="00080359"/>
    <w:rPr>
      <w:rFonts w:asciiTheme="majorHAnsi" w:eastAsiaTheme="majorEastAsia" w:hAnsiTheme="majorHAnsi" w:cstheme="majorBidi"/>
      <w:color w:val="2F5496" w:themeColor="accent1" w:themeShade="BF"/>
      <w:szCs w:val="24"/>
    </w:rPr>
  </w:style>
  <w:style w:type="character" w:styleId="Hyperlink">
    <w:name w:val="Hyperlink"/>
    <w:basedOn w:val="DefaultParagraphFont"/>
    <w:uiPriority w:val="99"/>
    <w:unhideWhenUsed/>
    <w:rsid w:val="00080359"/>
    <w:rPr>
      <w:color w:val="0563C1" w:themeColor="hyperlink"/>
      <w:u w:val="single"/>
    </w:rPr>
  </w:style>
  <w:style w:type="paragraph" w:styleId="FootnoteText">
    <w:name w:val="footnote text"/>
    <w:basedOn w:val="Normal"/>
    <w:link w:val="FootnoteTextChar"/>
    <w:uiPriority w:val="99"/>
    <w:semiHidden/>
    <w:unhideWhenUsed/>
    <w:rsid w:val="00080359"/>
    <w:pPr>
      <w:spacing w:before="12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080359"/>
    <w:rPr>
      <w:rFonts w:eastAsiaTheme="minorEastAsia"/>
      <w:sz w:val="20"/>
      <w:szCs w:val="20"/>
    </w:rPr>
  </w:style>
  <w:style w:type="character" w:styleId="FootnoteReference">
    <w:name w:val="footnote reference"/>
    <w:basedOn w:val="DefaultParagraphFont"/>
    <w:uiPriority w:val="99"/>
    <w:unhideWhenUsed/>
    <w:rsid w:val="00022751"/>
    <w:rPr>
      <w:rFonts w:ascii="Arial" w:hAnsi="Arial"/>
      <w:vertAlign w:val="superscript"/>
    </w:rPr>
  </w:style>
  <w:style w:type="character" w:customStyle="1" w:styleId="ListParagraphChar">
    <w:name w:val="List Paragraph Char"/>
    <w:aliases w:val="Bullet Char,List Paragraph1 Char,List Paragraph11 Char,Recommendation Char,Bullet point Char,Bullets Char,NAST Quote Char,L Char,CV text Char,Table text Char,F5 List Paragraph Char,Dot pt Char,List Paragraph111 Char,列 Char"/>
    <w:link w:val="ListParagraph"/>
    <w:uiPriority w:val="34"/>
    <w:locked/>
    <w:rsid w:val="00080359"/>
  </w:style>
  <w:style w:type="paragraph" w:styleId="EndnoteText">
    <w:name w:val="endnote text"/>
    <w:basedOn w:val="Normal"/>
    <w:link w:val="EndnoteTextChar"/>
    <w:uiPriority w:val="99"/>
    <w:unhideWhenUsed/>
    <w:rsid w:val="00080359"/>
    <w:pPr>
      <w:spacing w:line="240" w:lineRule="auto"/>
    </w:pPr>
    <w:rPr>
      <w:sz w:val="20"/>
      <w:szCs w:val="20"/>
    </w:rPr>
  </w:style>
  <w:style w:type="character" w:customStyle="1" w:styleId="EndnoteTextChar">
    <w:name w:val="Endnote Text Char"/>
    <w:basedOn w:val="DefaultParagraphFont"/>
    <w:link w:val="EndnoteText"/>
    <w:uiPriority w:val="99"/>
    <w:rsid w:val="00080359"/>
    <w:rPr>
      <w:sz w:val="20"/>
      <w:szCs w:val="20"/>
    </w:rPr>
  </w:style>
  <w:style w:type="paragraph" w:styleId="Revision">
    <w:name w:val="Revision"/>
    <w:hidden/>
    <w:uiPriority w:val="99"/>
    <w:semiHidden/>
    <w:rsid w:val="00950386"/>
    <w:pPr>
      <w:spacing w:after="0" w:line="240" w:lineRule="auto"/>
    </w:pPr>
  </w:style>
  <w:style w:type="paragraph" w:styleId="Header">
    <w:name w:val="header"/>
    <w:basedOn w:val="Normal"/>
    <w:link w:val="HeaderChar"/>
    <w:uiPriority w:val="99"/>
    <w:unhideWhenUsed/>
    <w:rsid w:val="00022751"/>
    <w:pPr>
      <w:tabs>
        <w:tab w:val="center" w:pos="4513"/>
        <w:tab w:val="right" w:pos="9026"/>
      </w:tabs>
      <w:spacing w:line="240" w:lineRule="auto"/>
    </w:pPr>
    <w:rPr>
      <w:sz w:val="20"/>
    </w:rPr>
  </w:style>
  <w:style w:type="character" w:customStyle="1" w:styleId="HeaderChar">
    <w:name w:val="Header Char"/>
    <w:basedOn w:val="DefaultParagraphFont"/>
    <w:link w:val="Header"/>
    <w:uiPriority w:val="99"/>
    <w:rsid w:val="00022751"/>
    <w:rPr>
      <w:rFonts w:ascii="Arial" w:hAnsi="Arial"/>
      <w:sz w:val="20"/>
    </w:rPr>
  </w:style>
  <w:style w:type="paragraph" w:styleId="Footer">
    <w:name w:val="footer"/>
    <w:basedOn w:val="Normal"/>
    <w:link w:val="FooterChar"/>
    <w:uiPriority w:val="99"/>
    <w:unhideWhenUsed/>
    <w:rsid w:val="00022751"/>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022751"/>
    <w:rPr>
      <w:rFonts w:ascii="Arial" w:hAnsi="Arial"/>
      <w:sz w:val="20"/>
    </w:rPr>
  </w:style>
  <w:style w:type="character" w:customStyle="1" w:styleId="Heading1Char">
    <w:name w:val="Heading 1 Char"/>
    <w:basedOn w:val="DefaultParagraphFont"/>
    <w:link w:val="Heading1"/>
    <w:uiPriority w:val="9"/>
    <w:rsid w:val="00022751"/>
    <w:rPr>
      <w:rFonts w:ascii="Arial" w:eastAsiaTheme="majorEastAsia" w:hAnsi="Arial" w:cs="Times New Roman (Headings CS)"/>
      <w:b/>
      <w:sz w:val="40"/>
      <w:szCs w:val="36"/>
    </w:rPr>
  </w:style>
  <w:style w:type="character" w:customStyle="1" w:styleId="Heading2Char">
    <w:name w:val="Heading 2 Char"/>
    <w:basedOn w:val="DefaultParagraphFont"/>
    <w:link w:val="Heading2"/>
    <w:uiPriority w:val="9"/>
    <w:rsid w:val="00022751"/>
    <w:rPr>
      <w:rFonts w:ascii="Arial" w:eastAsiaTheme="majorEastAsia" w:hAnsi="Arial" w:cstheme="majorBidi"/>
      <w:b/>
      <w:color w:val="133B61"/>
      <w:sz w:val="36"/>
      <w:szCs w:val="32"/>
    </w:rPr>
  </w:style>
  <w:style w:type="paragraph" w:styleId="ListBullet">
    <w:name w:val="List Bullet"/>
    <w:qFormat/>
    <w:rsid w:val="00022751"/>
    <w:pPr>
      <w:numPr>
        <w:numId w:val="15"/>
      </w:numPr>
      <w:tabs>
        <w:tab w:val="left" w:pos="426"/>
      </w:tabs>
      <w:spacing w:before="60" w:after="60" w:line="276" w:lineRule="auto"/>
      <w:ind w:left="363"/>
    </w:pPr>
    <w:rPr>
      <w:rFonts w:ascii="Arial" w:eastAsia="Times New Roman" w:hAnsi="Arial" w:cs="Times New Roman"/>
      <w:snapToGrid w:val="0"/>
      <w:szCs w:val="24"/>
      <w:lang w:eastAsia="en-AU"/>
    </w:rPr>
  </w:style>
  <w:style w:type="character" w:styleId="UnresolvedMention">
    <w:name w:val="Unresolved Mention"/>
    <w:basedOn w:val="DefaultParagraphFont"/>
    <w:uiPriority w:val="99"/>
    <w:semiHidden/>
    <w:unhideWhenUsed/>
    <w:rsid w:val="00C02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CEDE-5B17-4909-A609-1FE42E59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632</Words>
  <Characters>3576</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Embedding cultural safety</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Embedding cultural safety for Aboriginal and Torres Strait Islander children in an integrated Queensland child safe organisations system</dc:title>
  <dc:subject/>
  <dc:creator>Elizabeth Tune</dc:creator>
  <cp:keywords>consultation regulatory impact statement, supplementary document 2</cp:keywords>
  <dc:description/>
  <cp:lastModifiedBy>Michelle McCarron</cp:lastModifiedBy>
  <cp:revision>5</cp:revision>
  <cp:lastPrinted>2023-08-04T07:16:00Z</cp:lastPrinted>
  <dcterms:created xsi:type="dcterms:W3CDTF">2023-08-04T04:50:00Z</dcterms:created>
  <dcterms:modified xsi:type="dcterms:W3CDTF">2023-08-04T07:16:00Z</dcterms:modified>
</cp:coreProperties>
</file>