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3377" w14:textId="1D483656" w:rsidR="00BB5F54" w:rsidRPr="00E35230" w:rsidRDefault="00BB5F54" w:rsidP="005E6A77">
      <w:pPr>
        <w:ind w:right="1938"/>
        <w:rPr>
          <w:rFonts w:cstheme="majorHAnsi"/>
          <w:b/>
          <w:bCs/>
          <w:sz w:val="36"/>
          <w:szCs w:val="36"/>
        </w:rPr>
      </w:pPr>
      <w:r w:rsidRPr="00E35230">
        <w:rPr>
          <w:rFonts w:cstheme="majorHAnsi"/>
          <w:noProof/>
          <w:sz w:val="36"/>
          <w:szCs w:val="36"/>
        </w:rPr>
        <w:drawing>
          <wp:anchor distT="0" distB="0" distL="114300" distR="114300" simplePos="0" relativeHeight="251659264" behindDoc="1" locked="0" layoutInCell="1" allowOverlap="1" wp14:anchorId="7A0284FD" wp14:editId="397B8CE0">
            <wp:simplePos x="0" y="0"/>
            <wp:positionH relativeFrom="page">
              <wp:posOffset>5427023</wp:posOffset>
            </wp:positionH>
            <wp:positionV relativeFrom="page">
              <wp:posOffset>-11876</wp:posOffset>
            </wp:positionV>
            <wp:extent cx="2095200" cy="1893600"/>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Letterhead_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200" cy="1893600"/>
                    </a:xfrm>
                    <a:prstGeom prst="rect">
                      <a:avLst/>
                    </a:prstGeom>
                  </pic:spPr>
                </pic:pic>
              </a:graphicData>
            </a:graphic>
            <wp14:sizeRelH relativeFrom="margin">
              <wp14:pctWidth>0</wp14:pctWidth>
            </wp14:sizeRelH>
            <wp14:sizeRelV relativeFrom="margin">
              <wp14:pctHeight>0</wp14:pctHeight>
            </wp14:sizeRelV>
          </wp:anchor>
        </w:drawing>
      </w:r>
      <w:r w:rsidRPr="00E35230">
        <w:rPr>
          <w:rFonts w:cstheme="majorHAnsi"/>
          <w:sz w:val="36"/>
          <w:szCs w:val="36"/>
        </w:rPr>
        <w:t>Removal of</w:t>
      </w:r>
      <w:r w:rsidR="00DA4E26" w:rsidRPr="00E35230">
        <w:rPr>
          <w:rFonts w:cstheme="majorHAnsi"/>
          <w:sz w:val="36"/>
          <w:szCs w:val="36"/>
        </w:rPr>
        <w:t xml:space="preserve"> school-initiated</w:t>
      </w:r>
      <w:r w:rsidRPr="00E35230">
        <w:rPr>
          <w:rFonts w:cstheme="majorHAnsi"/>
          <w:sz w:val="36"/>
          <w:szCs w:val="36"/>
        </w:rPr>
        <w:t xml:space="preserve"> welfare condition</w:t>
      </w:r>
      <w:r w:rsidR="005E6A77" w:rsidRPr="00E35230">
        <w:rPr>
          <w:rFonts w:cstheme="majorHAnsi"/>
          <w:sz w:val="36"/>
          <w:szCs w:val="36"/>
        </w:rPr>
        <w:t xml:space="preserve"> </w:t>
      </w:r>
      <w:r w:rsidRPr="00E35230">
        <w:rPr>
          <w:rFonts w:cstheme="majorHAnsi"/>
          <w:sz w:val="36"/>
          <w:szCs w:val="36"/>
        </w:rPr>
        <w:t>(CRICOS)</w:t>
      </w:r>
    </w:p>
    <w:p w14:paraId="071B1C81" w14:textId="2CA2958E" w:rsidR="00FC2566" w:rsidRPr="00913ABB" w:rsidRDefault="00BB5F54" w:rsidP="00E35230">
      <w:pPr>
        <w:ind w:right="2222"/>
        <w:rPr>
          <w:rFonts w:cstheme="majorHAnsi"/>
        </w:rPr>
      </w:pPr>
      <w:r w:rsidRPr="00913ABB">
        <w:rPr>
          <w:rFonts w:cstheme="majorHAnsi"/>
        </w:rPr>
        <w:t xml:space="preserve">This form is to be used by </w:t>
      </w:r>
      <w:r w:rsidR="00E35230">
        <w:rPr>
          <w:rFonts w:cstheme="majorHAnsi"/>
        </w:rPr>
        <w:t>SCHOOLS</w:t>
      </w:r>
      <w:r w:rsidRPr="00913ABB">
        <w:rPr>
          <w:rFonts w:cstheme="majorHAnsi"/>
        </w:rPr>
        <w:t xml:space="preserve"> to request the removal of a school-initiated welfare restriction. </w:t>
      </w:r>
    </w:p>
    <w:p w14:paraId="5E205B6A" w14:textId="77777777" w:rsidR="00BB5F54" w:rsidRPr="00913ABB" w:rsidRDefault="0080377B" w:rsidP="00BB5F54">
      <w:pPr>
        <w:jc w:val="center"/>
        <w:rPr>
          <w:rFonts w:cstheme="majorHAnsi"/>
          <w:i/>
          <w:lang w:eastAsia="en-US"/>
        </w:rPr>
      </w:pPr>
      <w:r>
        <w:rPr>
          <w:rFonts w:cstheme="majorHAnsi"/>
          <w:b/>
        </w:rPr>
        <w:pict w14:anchorId="359423F4">
          <v:rect id="_x0000_i1025" style="width:0;height:1.5pt" o:hralign="center" o:hrstd="t" o:hr="t" fillcolor="#9d9da1" stroked="f"/>
        </w:pict>
      </w:r>
    </w:p>
    <w:p w14:paraId="6A33AE0B" w14:textId="77777777" w:rsidR="00BB5F54" w:rsidRPr="00913ABB" w:rsidRDefault="00BB5F54" w:rsidP="00BB5F54">
      <w:pPr>
        <w:jc w:val="center"/>
        <w:rPr>
          <w:rFonts w:cstheme="majorHAnsi"/>
          <w:i/>
          <w:lang w:eastAsia="en-US"/>
        </w:rPr>
      </w:pPr>
      <w:r w:rsidRPr="00913ABB">
        <w:rPr>
          <w:rFonts w:cstheme="majorHAnsi"/>
          <w:i/>
          <w:lang w:eastAsia="en-US"/>
        </w:rPr>
        <w:t xml:space="preserve">If you have any queries regarding this application, please contact the International Quality (Schools) Unit on                </w:t>
      </w:r>
    </w:p>
    <w:p w14:paraId="5BA8BFA6" w14:textId="77777777" w:rsidR="00BB5F54" w:rsidRPr="00913ABB" w:rsidRDefault="00BB5F54" w:rsidP="00BB5F54">
      <w:pPr>
        <w:jc w:val="center"/>
        <w:rPr>
          <w:rFonts w:cstheme="majorHAnsi"/>
          <w:i/>
          <w:lang w:eastAsia="en-US"/>
        </w:rPr>
      </w:pPr>
      <w:r w:rsidRPr="00913ABB">
        <w:rPr>
          <w:rFonts w:cstheme="majorHAnsi"/>
          <w:i/>
          <w:lang w:eastAsia="en-US"/>
        </w:rPr>
        <w:t xml:space="preserve"> (07) 3513 6748 or via email at </w:t>
      </w:r>
      <w:hyperlink r:id="rId8" w:history="1">
        <w:r w:rsidRPr="00913ABB">
          <w:rPr>
            <w:rStyle w:val="Hyperlink"/>
            <w:rFonts w:cstheme="majorHAnsi"/>
            <w:i/>
            <w:lang w:eastAsia="en-US"/>
          </w:rPr>
          <w:t>InternationalRegistration@qed.qld.gov.au</w:t>
        </w:r>
      </w:hyperlink>
      <w:r w:rsidRPr="00913ABB">
        <w:rPr>
          <w:rFonts w:cstheme="majorHAnsi"/>
          <w:i/>
          <w:lang w:eastAsia="en-US"/>
        </w:rPr>
        <w:t xml:space="preserve"> </w:t>
      </w:r>
    </w:p>
    <w:p w14:paraId="73CD3378" w14:textId="77777777" w:rsidR="00BB5F54" w:rsidRPr="00913ABB" w:rsidRDefault="0080377B" w:rsidP="00BB5F54">
      <w:pPr>
        <w:rPr>
          <w:rFonts w:cstheme="majorHAnsi"/>
          <w:b/>
          <w:u w:val="single"/>
        </w:rPr>
      </w:pPr>
      <w:r>
        <w:rPr>
          <w:rFonts w:cstheme="majorHAnsi"/>
          <w:b/>
        </w:rPr>
        <w:pict w14:anchorId="0F34229B">
          <v:rect id="_x0000_i1026" style="width:0;height:1.5pt" o:hralign="center" o:hrstd="t" o:hr="t" fillcolor="#9d9da1" stroked="f"/>
        </w:pict>
      </w:r>
    </w:p>
    <w:p w14:paraId="3823D55F" w14:textId="77777777" w:rsidR="00BB5F54" w:rsidRPr="00913ABB" w:rsidRDefault="00BB5F54" w:rsidP="00BB5F54">
      <w:pPr>
        <w:rPr>
          <w:rFonts w:cstheme="majorHAnsi"/>
          <w:color w:val="4472C4" w:themeColor="accent1"/>
          <w:sz w:val="32"/>
          <w:szCs w:val="32"/>
        </w:rPr>
      </w:pPr>
      <w:r w:rsidRPr="00913ABB">
        <w:rPr>
          <w:rFonts w:cstheme="majorHAnsi"/>
          <w:color w:val="4472C4" w:themeColor="accent1"/>
          <w:sz w:val="32"/>
          <w:szCs w:val="32"/>
        </w:rPr>
        <w:t>Provider details</w:t>
      </w:r>
    </w:p>
    <w:tbl>
      <w:tblPr>
        <w:tblStyle w:val="TableGridLight"/>
        <w:tblW w:w="5000" w:type="pct"/>
        <w:tblLook w:val="0000" w:firstRow="0" w:lastRow="0" w:firstColumn="0" w:lastColumn="0" w:noHBand="0" w:noVBand="0"/>
      </w:tblPr>
      <w:tblGrid>
        <w:gridCol w:w="3823"/>
        <w:gridCol w:w="5193"/>
      </w:tblGrid>
      <w:tr w:rsidR="00BB5F54" w:rsidRPr="005E6A77" w14:paraId="5EA41FA7" w14:textId="77777777" w:rsidTr="005E6A77">
        <w:trPr>
          <w:trHeight w:val="450"/>
        </w:trPr>
        <w:tc>
          <w:tcPr>
            <w:tcW w:w="2120" w:type="pct"/>
          </w:tcPr>
          <w:p w14:paraId="51BD64C5" w14:textId="77777777" w:rsidR="00BB5F54" w:rsidRPr="005E6A77" w:rsidRDefault="00BB5F54" w:rsidP="00A16D6C">
            <w:pPr>
              <w:rPr>
                <w:rFonts w:cstheme="majorHAnsi"/>
              </w:rPr>
            </w:pPr>
            <w:r w:rsidRPr="005E6A77">
              <w:rPr>
                <w:rFonts w:cstheme="majorHAnsi"/>
              </w:rPr>
              <w:t>Legal entity name / Governing body name</w:t>
            </w:r>
          </w:p>
        </w:tc>
        <w:tc>
          <w:tcPr>
            <w:tcW w:w="2880" w:type="pct"/>
          </w:tcPr>
          <w:p w14:paraId="69CFA970" w14:textId="77777777" w:rsidR="00BB5F54" w:rsidRPr="005E6A77" w:rsidRDefault="00BB5F54" w:rsidP="00A16D6C">
            <w:pPr>
              <w:pStyle w:val="Answers"/>
              <w:spacing w:after="120"/>
              <w:rPr>
                <w:rFonts w:cstheme="majorHAnsi"/>
                <w:sz w:val="22"/>
                <w:szCs w:val="22"/>
              </w:rPr>
            </w:pPr>
          </w:p>
        </w:tc>
      </w:tr>
      <w:tr w:rsidR="00BB5F54" w:rsidRPr="005E6A77" w14:paraId="0384BA88" w14:textId="77777777" w:rsidTr="005E6A77">
        <w:trPr>
          <w:trHeight w:val="450"/>
        </w:trPr>
        <w:tc>
          <w:tcPr>
            <w:tcW w:w="2120" w:type="pct"/>
          </w:tcPr>
          <w:p w14:paraId="595F2E12" w14:textId="77777777" w:rsidR="00BB5F54" w:rsidRPr="005E6A77" w:rsidRDefault="00BB5F54" w:rsidP="00A16D6C">
            <w:pPr>
              <w:rPr>
                <w:rFonts w:cstheme="majorHAnsi"/>
              </w:rPr>
            </w:pPr>
            <w:r w:rsidRPr="005E6A77">
              <w:rPr>
                <w:rFonts w:cstheme="majorHAnsi"/>
              </w:rPr>
              <w:t>Trading name</w:t>
            </w:r>
          </w:p>
        </w:tc>
        <w:tc>
          <w:tcPr>
            <w:tcW w:w="2880" w:type="pct"/>
          </w:tcPr>
          <w:p w14:paraId="337751AA" w14:textId="77777777" w:rsidR="00BB5F54" w:rsidRPr="005E6A77" w:rsidRDefault="00BB5F54" w:rsidP="00A16D6C">
            <w:pPr>
              <w:pStyle w:val="Answers"/>
              <w:spacing w:after="120"/>
              <w:rPr>
                <w:rFonts w:cstheme="majorHAnsi"/>
                <w:sz w:val="22"/>
                <w:szCs w:val="22"/>
              </w:rPr>
            </w:pPr>
          </w:p>
        </w:tc>
      </w:tr>
      <w:tr w:rsidR="00BB5F54" w:rsidRPr="005E6A77" w14:paraId="7D322629" w14:textId="77777777" w:rsidTr="005E6A77">
        <w:trPr>
          <w:trHeight w:val="450"/>
        </w:trPr>
        <w:tc>
          <w:tcPr>
            <w:tcW w:w="2120" w:type="pct"/>
          </w:tcPr>
          <w:p w14:paraId="15F4A9BB" w14:textId="77777777" w:rsidR="00BB5F54" w:rsidRPr="005E6A77" w:rsidRDefault="00BB5F54" w:rsidP="00A16D6C">
            <w:pPr>
              <w:rPr>
                <w:rFonts w:cstheme="majorHAnsi"/>
              </w:rPr>
            </w:pPr>
            <w:r w:rsidRPr="005E6A77">
              <w:rPr>
                <w:rFonts w:cstheme="majorHAnsi"/>
              </w:rPr>
              <w:t>CRICOS code</w:t>
            </w:r>
          </w:p>
        </w:tc>
        <w:tc>
          <w:tcPr>
            <w:tcW w:w="2880" w:type="pct"/>
          </w:tcPr>
          <w:p w14:paraId="662038DB" w14:textId="77777777" w:rsidR="00BB5F54" w:rsidRPr="005E6A77" w:rsidRDefault="00BB5F54" w:rsidP="00A16D6C">
            <w:pPr>
              <w:pStyle w:val="Answers"/>
              <w:spacing w:after="120"/>
              <w:rPr>
                <w:rFonts w:cstheme="majorHAnsi"/>
                <w:sz w:val="22"/>
                <w:szCs w:val="22"/>
              </w:rPr>
            </w:pPr>
          </w:p>
        </w:tc>
      </w:tr>
      <w:tr w:rsidR="005E6A77" w:rsidRPr="005E6A77" w14:paraId="0102A65E" w14:textId="77777777" w:rsidTr="005E6A77">
        <w:tblPrEx>
          <w:tblLook w:val="04A0" w:firstRow="1" w:lastRow="0" w:firstColumn="1" w:lastColumn="0" w:noHBand="0" w:noVBand="1"/>
        </w:tblPrEx>
        <w:trPr>
          <w:trHeight w:val="450"/>
        </w:trPr>
        <w:tc>
          <w:tcPr>
            <w:tcW w:w="2120" w:type="pct"/>
          </w:tcPr>
          <w:p w14:paraId="56B366B4" w14:textId="77777777" w:rsidR="005E6A77" w:rsidRPr="005E6A77" w:rsidRDefault="005E6A77" w:rsidP="00D42B81">
            <w:pPr>
              <w:rPr>
                <w:rFonts w:cstheme="majorHAnsi"/>
                <w:szCs w:val="21"/>
              </w:rPr>
            </w:pPr>
            <w:r w:rsidRPr="005E6A77">
              <w:rPr>
                <w:rFonts w:cstheme="majorHAnsi"/>
                <w:szCs w:val="21"/>
              </w:rPr>
              <w:t>Contact name if further information is required</w:t>
            </w:r>
          </w:p>
        </w:tc>
        <w:tc>
          <w:tcPr>
            <w:tcW w:w="2880" w:type="pct"/>
          </w:tcPr>
          <w:p w14:paraId="3B77E115" w14:textId="77777777" w:rsidR="005E6A77" w:rsidRPr="005E6A77" w:rsidRDefault="005E6A77" w:rsidP="00D42B81">
            <w:pPr>
              <w:pStyle w:val="Answers"/>
              <w:spacing w:after="120"/>
              <w:rPr>
                <w:rFonts w:cstheme="majorHAnsi"/>
                <w:sz w:val="21"/>
                <w:szCs w:val="21"/>
              </w:rPr>
            </w:pPr>
          </w:p>
        </w:tc>
      </w:tr>
      <w:tr w:rsidR="005E6A77" w:rsidRPr="005E6A77" w14:paraId="28704998" w14:textId="77777777" w:rsidTr="005E6A77">
        <w:tblPrEx>
          <w:tblLook w:val="04A0" w:firstRow="1" w:lastRow="0" w:firstColumn="1" w:lastColumn="0" w:noHBand="0" w:noVBand="1"/>
        </w:tblPrEx>
        <w:trPr>
          <w:trHeight w:val="450"/>
        </w:trPr>
        <w:tc>
          <w:tcPr>
            <w:tcW w:w="2120" w:type="pct"/>
          </w:tcPr>
          <w:p w14:paraId="5DB51F6A" w14:textId="77777777" w:rsidR="005E6A77" w:rsidRPr="005E6A77" w:rsidRDefault="005E6A77" w:rsidP="00D42B81">
            <w:pPr>
              <w:rPr>
                <w:rFonts w:cstheme="majorHAnsi"/>
                <w:szCs w:val="21"/>
              </w:rPr>
            </w:pPr>
            <w:r w:rsidRPr="005E6A77">
              <w:rPr>
                <w:rFonts w:cstheme="majorHAnsi"/>
                <w:szCs w:val="21"/>
              </w:rPr>
              <w:t>Phone number – please provide a direct number if possible</w:t>
            </w:r>
          </w:p>
        </w:tc>
        <w:tc>
          <w:tcPr>
            <w:tcW w:w="2880" w:type="pct"/>
          </w:tcPr>
          <w:p w14:paraId="0883195A" w14:textId="77777777" w:rsidR="005E6A77" w:rsidRPr="005E6A77" w:rsidRDefault="005E6A77" w:rsidP="00D42B81">
            <w:pPr>
              <w:pStyle w:val="Answers"/>
              <w:spacing w:after="120"/>
              <w:rPr>
                <w:rFonts w:cstheme="majorHAnsi"/>
                <w:sz w:val="21"/>
                <w:szCs w:val="21"/>
              </w:rPr>
            </w:pPr>
          </w:p>
        </w:tc>
      </w:tr>
      <w:tr w:rsidR="005E6A77" w:rsidRPr="005E6A77" w14:paraId="2C43716D" w14:textId="77777777" w:rsidTr="005E6A77">
        <w:tblPrEx>
          <w:tblLook w:val="04A0" w:firstRow="1" w:lastRow="0" w:firstColumn="1" w:lastColumn="0" w:noHBand="0" w:noVBand="1"/>
        </w:tblPrEx>
        <w:trPr>
          <w:trHeight w:val="450"/>
        </w:trPr>
        <w:tc>
          <w:tcPr>
            <w:tcW w:w="2120" w:type="pct"/>
          </w:tcPr>
          <w:p w14:paraId="76C41306" w14:textId="77777777" w:rsidR="005E6A77" w:rsidRPr="005E6A77" w:rsidRDefault="005E6A77" w:rsidP="00D42B81">
            <w:pPr>
              <w:rPr>
                <w:rFonts w:cstheme="majorHAnsi"/>
                <w:szCs w:val="21"/>
              </w:rPr>
            </w:pPr>
            <w:r w:rsidRPr="005E6A77">
              <w:rPr>
                <w:rFonts w:cstheme="majorHAnsi"/>
                <w:szCs w:val="21"/>
              </w:rPr>
              <w:t>Email address</w:t>
            </w:r>
          </w:p>
        </w:tc>
        <w:tc>
          <w:tcPr>
            <w:tcW w:w="2880" w:type="pct"/>
          </w:tcPr>
          <w:p w14:paraId="5B1ABFF8" w14:textId="77777777" w:rsidR="005E6A77" w:rsidRPr="005E6A77" w:rsidRDefault="005E6A77" w:rsidP="00D42B81">
            <w:pPr>
              <w:pStyle w:val="Answers"/>
              <w:spacing w:after="120"/>
              <w:rPr>
                <w:rFonts w:cstheme="majorHAnsi"/>
                <w:sz w:val="21"/>
                <w:szCs w:val="21"/>
              </w:rPr>
            </w:pPr>
          </w:p>
        </w:tc>
      </w:tr>
    </w:tbl>
    <w:p w14:paraId="0989DA1B" w14:textId="7887D445" w:rsidR="00BB5F54" w:rsidRPr="00913ABB" w:rsidRDefault="00BB5F54">
      <w:pPr>
        <w:rPr>
          <w:rFonts w:cstheme="majorHAnsi"/>
        </w:rPr>
      </w:pPr>
    </w:p>
    <w:p w14:paraId="4AD0D366" w14:textId="77777777" w:rsidR="00BB5F54" w:rsidRPr="00E35230" w:rsidRDefault="00BB5F54" w:rsidP="00BB5F54">
      <w:pPr>
        <w:rPr>
          <w:rFonts w:cstheme="majorHAnsi"/>
          <w:color w:val="0070C0"/>
          <w:sz w:val="24"/>
          <w:szCs w:val="24"/>
        </w:rPr>
      </w:pPr>
      <w:r w:rsidRPr="00E35230">
        <w:rPr>
          <w:rFonts w:cstheme="majorHAnsi"/>
          <w:color w:val="0070C0"/>
          <w:sz w:val="24"/>
          <w:szCs w:val="24"/>
        </w:rPr>
        <w:t>Accommodation options for unaccompanied students under 18 years of age</w:t>
      </w:r>
    </w:p>
    <w:p w14:paraId="1693E5EF" w14:textId="77777777" w:rsidR="00E35230" w:rsidRPr="0040122F" w:rsidRDefault="00E35230" w:rsidP="00E35230">
      <w:pPr>
        <w:rPr>
          <w:rFonts w:cstheme="majorHAnsi"/>
        </w:rPr>
      </w:pPr>
      <w:r w:rsidRPr="0040122F">
        <w:rPr>
          <w:rFonts w:cstheme="majorHAnsi"/>
        </w:rPr>
        <w:t xml:space="preserve">What accommodation options </w:t>
      </w:r>
      <w:r>
        <w:rPr>
          <w:rFonts w:cstheme="majorHAnsi"/>
        </w:rPr>
        <w:t xml:space="preserve">will you </w:t>
      </w:r>
      <w:r w:rsidRPr="0040122F">
        <w:rPr>
          <w:rFonts w:cstheme="majorHAnsi"/>
        </w:rPr>
        <w:t>offer to students on a CAAW?</w:t>
      </w:r>
    </w:p>
    <w:p w14:paraId="42E8CF13" w14:textId="77777777" w:rsidR="00E35230" w:rsidRPr="0040122F" w:rsidRDefault="00E35230" w:rsidP="00E35230">
      <w:pPr>
        <w:rPr>
          <w:rFonts w:cstheme="majorHAnsi"/>
          <w:i/>
        </w:rPr>
      </w:pPr>
      <w:r w:rsidRPr="0040122F">
        <w:rPr>
          <w:rFonts w:cstheme="majorHAnsi"/>
          <w:i/>
        </w:rPr>
        <w:t xml:space="preserve">Choose </w:t>
      </w:r>
      <w:r w:rsidRPr="0040122F">
        <w:rPr>
          <w:rFonts w:cstheme="majorHAnsi"/>
          <w:i/>
          <w:u w:val="single"/>
        </w:rPr>
        <w:t>all</w:t>
      </w:r>
      <w:r w:rsidRPr="0040122F">
        <w:rPr>
          <w:rFonts w:cstheme="majorHAnsi"/>
          <w:i/>
        </w:rPr>
        <w:t xml:space="preserve"> options that are applicable</w:t>
      </w:r>
    </w:p>
    <w:p w14:paraId="785CF027" w14:textId="4A4D9EBC" w:rsidR="00E35230" w:rsidRPr="0040122F" w:rsidRDefault="00E35230" w:rsidP="00E35230">
      <w:pPr>
        <w:ind w:left="720"/>
        <w:rPr>
          <w:rFonts w:cstheme="majorHAnsi"/>
        </w:rPr>
      </w:pPr>
      <w:sdt>
        <w:sdtPr>
          <w:rPr>
            <w:rFonts w:cstheme="majorHAnsi"/>
          </w:rPr>
          <w:id w:val="1211531459"/>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Pr="0040122F">
        <w:rPr>
          <w:rFonts w:cstheme="majorHAnsi"/>
        </w:rPr>
        <w:t xml:space="preserve">  Boarding in an accredited boarding house (complete</w:t>
      </w:r>
      <w:r>
        <w:rPr>
          <w:rFonts w:cstheme="majorHAnsi"/>
        </w:rPr>
        <w:t xml:space="preserve"> </w:t>
      </w:r>
      <w:r w:rsidRPr="0040122F">
        <w:rPr>
          <w:rFonts w:cstheme="majorHAnsi"/>
        </w:rPr>
        <w:t>section</w:t>
      </w:r>
      <w:r>
        <w:rPr>
          <w:rFonts w:cstheme="majorHAnsi"/>
        </w:rPr>
        <w:t xml:space="preserve"> a) below</w:t>
      </w:r>
      <w:r w:rsidRPr="0040122F">
        <w:rPr>
          <w:rFonts w:cstheme="majorHAnsi"/>
        </w:rPr>
        <w:t>)</w:t>
      </w:r>
    </w:p>
    <w:p w14:paraId="207609B9" w14:textId="77777777" w:rsidR="00E35230" w:rsidRPr="0040122F" w:rsidRDefault="00E35230" w:rsidP="00E35230">
      <w:pPr>
        <w:ind w:left="720"/>
        <w:rPr>
          <w:rFonts w:cstheme="majorHAnsi"/>
        </w:rPr>
      </w:pPr>
      <w:sdt>
        <w:sdtPr>
          <w:rPr>
            <w:rFonts w:cstheme="majorHAnsi"/>
          </w:rPr>
          <w:id w:val="457608406"/>
          <w14:checkbox>
            <w14:checked w14:val="0"/>
            <w14:checkedState w14:val="2612" w14:font="MS Gothic"/>
            <w14:uncheckedState w14:val="2610" w14:font="MS Gothic"/>
          </w14:checkbox>
        </w:sdtPr>
        <w:sdtContent>
          <w:r w:rsidRPr="0040122F">
            <w:rPr>
              <w:rFonts w:ascii="Segoe UI Symbol" w:hAnsi="Segoe UI Symbol" w:cs="Segoe UI Symbol"/>
            </w:rPr>
            <w:t>☐</w:t>
          </w:r>
        </w:sdtContent>
      </w:sdt>
      <w:r w:rsidRPr="0040122F">
        <w:rPr>
          <w:rFonts w:cstheme="majorHAnsi"/>
        </w:rPr>
        <w:t xml:space="preserve">  Homestay in</w:t>
      </w:r>
      <w:r>
        <w:rPr>
          <w:rFonts w:cstheme="majorHAnsi"/>
        </w:rPr>
        <w:t xml:space="preserve"> a</w:t>
      </w:r>
      <w:r w:rsidRPr="0040122F">
        <w:rPr>
          <w:rFonts w:cstheme="majorHAnsi"/>
        </w:rPr>
        <w:t xml:space="preserve"> </w:t>
      </w:r>
      <w:r>
        <w:rPr>
          <w:rFonts w:cstheme="majorHAnsi"/>
        </w:rPr>
        <w:t>provider</w:t>
      </w:r>
      <w:r w:rsidRPr="0040122F">
        <w:rPr>
          <w:rFonts w:cstheme="majorHAnsi"/>
        </w:rPr>
        <w:t xml:space="preserve">-arranged homestay program (complete section </w:t>
      </w:r>
      <w:r>
        <w:rPr>
          <w:rFonts w:cstheme="majorHAnsi"/>
        </w:rPr>
        <w:t>b) below</w:t>
      </w:r>
      <w:r w:rsidRPr="0040122F">
        <w:rPr>
          <w:rFonts w:cstheme="majorHAnsi"/>
        </w:rPr>
        <w:t>)</w:t>
      </w:r>
    </w:p>
    <w:p w14:paraId="6B5FB3EE" w14:textId="77777777" w:rsidR="00E35230" w:rsidRPr="0040122F" w:rsidRDefault="00E35230" w:rsidP="00E35230">
      <w:pPr>
        <w:ind w:left="720"/>
        <w:rPr>
          <w:rFonts w:cstheme="majorHAnsi"/>
        </w:rPr>
      </w:pPr>
      <w:sdt>
        <w:sdtPr>
          <w:rPr>
            <w:rFonts w:cstheme="majorHAnsi"/>
          </w:rPr>
          <w:id w:val="-1877605462"/>
          <w14:checkbox>
            <w14:checked w14:val="0"/>
            <w14:checkedState w14:val="2612" w14:font="MS Gothic"/>
            <w14:uncheckedState w14:val="2610" w14:font="MS Gothic"/>
          </w14:checkbox>
        </w:sdtPr>
        <w:sdtContent>
          <w:r w:rsidRPr="0040122F">
            <w:rPr>
              <w:rFonts w:ascii="Segoe UI Symbol" w:hAnsi="Segoe UI Symbol" w:cs="Segoe UI Symbol"/>
            </w:rPr>
            <w:t>☐</w:t>
          </w:r>
        </w:sdtContent>
      </w:sdt>
      <w:r w:rsidRPr="0040122F">
        <w:rPr>
          <w:rFonts w:cstheme="majorHAnsi"/>
        </w:rPr>
        <w:t xml:space="preserve">  Homestay via parent-requested arrangements (complete section </w:t>
      </w:r>
      <w:r>
        <w:rPr>
          <w:rFonts w:cstheme="majorHAnsi"/>
        </w:rPr>
        <w:t>c) below</w:t>
      </w:r>
      <w:r w:rsidRPr="0040122F">
        <w:rPr>
          <w:rFonts w:cstheme="majorHAnsi"/>
        </w:rPr>
        <w:t>)</w:t>
      </w:r>
    </w:p>
    <w:p w14:paraId="5186945E" w14:textId="77777777" w:rsidR="00E35230" w:rsidRPr="0040122F" w:rsidRDefault="00E35230" w:rsidP="00E35230">
      <w:pPr>
        <w:ind w:left="720"/>
        <w:rPr>
          <w:rFonts w:cstheme="majorHAnsi"/>
        </w:rPr>
      </w:pPr>
      <w:sdt>
        <w:sdtPr>
          <w:rPr>
            <w:rFonts w:cstheme="majorHAnsi"/>
          </w:rPr>
          <w:id w:val="-800690382"/>
          <w14:checkbox>
            <w14:checked w14:val="0"/>
            <w14:checkedState w14:val="2612" w14:font="MS Gothic"/>
            <w14:uncheckedState w14:val="2610" w14:font="MS Gothic"/>
          </w14:checkbox>
        </w:sdtPr>
        <w:sdtContent>
          <w:r w:rsidRPr="0040122F">
            <w:rPr>
              <w:rFonts w:ascii="Segoe UI Symbol" w:hAnsi="Segoe UI Symbol" w:cs="Segoe UI Symbol"/>
            </w:rPr>
            <w:t>☐</w:t>
          </w:r>
        </w:sdtContent>
      </w:sdt>
      <w:r w:rsidRPr="0040122F">
        <w:rPr>
          <w:rFonts w:cstheme="majorHAnsi"/>
        </w:rPr>
        <w:t xml:space="preserve">  Homestay in a third-party arranged homestay program (complete section </w:t>
      </w:r>
      <w:r>
        <w:rPr>
          <w:rFonts w:cstheme="majorHAnsi"/>
        </w:rPr>
        <w:t>d) below</w:t>
      </w:r>
      <w:r w:rsidRPr="0040122F">
        <w:rPr>
          <w:rFonts w:cstheme="majorHAnsi"/>
        </w:rPr>
        <w:t>)</w:t>
      </w:r>
    </w:p>
    <w:p w14:paraId="32F6AAFF" w14:textId="77777777" w:rsidR="00E35230" w:rsidRPr="0040122F" w:rsidRDefault="00E35230" w:rsidP="00E35230">
      <w:pPr>
        <w:ind w:left="720"/>
        <w:rPr>
          <w:rFonts w:cstheme="majorHAnsi"/>
        </w:rPr>
      </w:pPr>
      <w:sdt>
        <w:sdtPr>
          <w:rPr>
            <w:rFonts w:cstheme="majorHAnsi"/>
          </w:rPr>
          <w:id w:val="-1815634602"/>
          <w14:checkbox>
            <w14:checked w14:val="0"/>
            <w14:checkedState w14:val="2612" w14:font="MS Gothic"/>
            <w14:uncheckedState w14:val="2610" w14:font="MS Gothic"/>
          </w14:checkbox>
        </w:sdtPr>
        <w:sdtContent>
          <w:r w:rsidRPr="0040122F">
            <w:rPr>
              <w:rFonts w:ascii="Segoe UI Symbol" w:hAnsi="Segoe UI Symbol" w:cs="Segoe UI Symbol"/>
            </w:rPr>
            <w:t>☐</w:t>
          </w:r>
        </w:sdtContent>
      </w:sdt>
      <w:r w:rsidRPr="0040122F">
        <w:rPr>
          <w:rFonts w:cstheme="majorHAnsi"/>
        </w:rPr>
        <w:t xml:space="preserve">  </w:t>
      </w:r>
      <w:r>
        <w:rPr>
          <w:rFonts w:cstheme="majorHAnsi"/>
        </w:rPr>
        <w:t>V</w:t>
      </w:r>
      <w:r w:rsidRPr="0040122F">
        <w:rPr>
          <w:rFonts w:cstheme="majorHAnsi"/>
        </w:rPr>
        <w:t>acation</w:t>
      </w:r>
      <w:r>
        <w:rPr>
          <w:rFonts w:cstheme="majorHAnsi"/>
        </w:rPr>
        <w:t>-</w:t>
      </w:r>
      <w:r w:rsidRPr="0040122F">
        <w:rPr>
          <w:rFonts w:cstheme="majorHAnsi"/>
        </w:rPr>
        <w:t xml:space="preserve">stay for </w:t>
      </w:r>
      <w:r>
        <w:rPr>
          <w:rFonts w:cstheme="majorHAnsi"/>
        </w:rPr>
        <w:t xml:space="preserve">overseas </w:t>
      </w:r>
      <w:r w:rsidRPr="0040122F">
        <w:rPr>
          <w:rFonts w:cstheme="majorHAnsi"/>
        </w:rPr>
        <w:t xml:space="preserve">students (complete section </w:t>
      </w:r>
      <w:r>
        <w:rPr>
          <w:rFonts w:cstheme="majorHAnsi"/>
        </w:rPr>
        <w:t>e) below</w:t>
      </w:r>
      <w:r w:rsidRPr="0040122F">
        <w:rPr>
          <w:rFonts w:cstheme="majorHAnsi"/>
        </w:rPr>
        <w:t>)</w:t>
      </w:r>
    </w:p>
    <w:p w14:paraId="50E0EADE" w14:textId="77777777" w:rsidR="00E35230" w:rsidRDefault="00E35230" w:rsidP="00E35230"/>
    <w:p w14:paraId="5BB6B7F6" w14:textId="5F9F2F9F" w:rsidR="00BB5F54" w:rsidRPr="00913ABB" w:rsidRDefault="00BB5F54" w:rsidP="00E35230">
      <w:r w:rsidRPr="00913ABB">
        <w:lastRenderedPageBreak/>
        <w:t>Please provide the following documentation:</w:t>
      </w:r>
    </w:p>
    <w:p w14:paraId="534BB435" w14:textId="6D3F6F80" w:rsidR="00BB5F54" w:rsidRPr="00913ABB" w:rsidRDefault="00BB5F54" w:rsidP="009A1618">
      <w:pPr>
        <w:pStyle w:val="ListParagraph"/>
        <w:numPr>
          <w:ilvl w:val="0"/>
          <w:numId w:val="1"/>
        </w:numPr>
        <w:contextualSpacing w:val="0"/>
        <w:rPr>
          <w:rFonts w:cstheme="majorHAnsi"/>
        </w:rPr>
      </w:pPr>
      <w:r w:rsidRPr="00913ABB">
        <w:rPr>
          <w:rFonts w:cstheme="majorHAnsi"/>
        </w:rPr>
        <w:t>Updated Overseas student fee schedule, including revised non-tuition costs</w:t>
      </w:r>
      <w:r w:rsidR="009A1618" w:rsidRPr="00913ABB">
        <w:rPr>
          <w:rFonts w:cstheme="majorHAnsi"/>
        </w:rPr>
        <w:t xml:space="preserve"> to account for accommodation expenses</w:t>
      </w:r>
    </w:p>
    <w:p w14:paraId="35A568AD" w14:textId="0BF6A514" w:rsidR="009A1618" w:rsidRPr="00913ABB" w:rsidRDefault="009A1618" w:rsidP="009A1618">
      <w:pPr>
        <w:pStyle w:val="ListParagraph"/>
        <w:numPr>
          <w:ilvl w:val="0"/>
          <w:numId w:val="1"/>
        </w:numPr>
        <w:ind w:left="714" w:hanging="357"/>
        <w:contextualSpacing w:val="0"/>
        <w:rPr>
          <w:rFonts w:cstheme="majorHAnsi"/>
        </w:rPr>
      </w:pPr>
      <w:r w:rsidRPr="00913ABB">
        <w:rPr>
          <w:rFonts w:cstheme="majorHAnsi"/>
        </w:rPr>
        <w:t>Revised St.7 Transfer policy incorporating the requirements as they relate on an inbound student on a CAAW</w:t>
      </w:r>
    </w:p>
    <w:p w14:paraId="10279BE1" w14:textId="7D9A4DDB" w:rsidR="009A1618" w:rsidRPr="00913ABB" w:rsidRDefault="009A1618" w:rsidP="009A1618">
      <w:pPr>
        <w:pStyle w:val="ListParagraph"/>
        <w:numPr>
          <w:ilvl w:val="0"/>
          <w:numId w:val="1"/>
        </w:numPr>
        <w:ind w:left="714" w:hanging="357"/>
        <w:contextualSpacing w:val="0"/>
        <w:rPr>
          <w:rFonts w:cstheme="majorHAnsi"/>
        </w:rPr>
      </w:pPr>
      <w:r w:rsidRPr="00913ABB">
        <w:rPr>
          <w:rFonts w:cstheme="majorHAnsi"/>
        </w:rPr>
        <w:t>Revised St.5 Accommodation and Welfare policy</w:t>
      </w:r>
    </w:p>
    <w:p w14:paraId="071AE462" w14:textId="77777777" w:rsidR="005E6A77" w:rsidRDefault="005E6A77" w:rsidP="005E6A77">
      <w:pPr>
        <w:rPr>
          <w:rFonts w:cstheme="majorHAnsi"/>
          <w:i/>
          <w:color w:val="0070C0"/>
        </w:rPr>
      </w:pPr>
    </w:p>
    <w:p w14:paraId="6B9EC8C7" w14:textId="77777777" w:rsidR="00E35230" w:rsidRPr="000121CA" w:rsidRDefault="00E35230" w:rsidP="00E35230">
      <w:pPr>
        <w:pStyle w:val="ListParagraph"/>
        <w:numPr>
          <w:ilvl w:val="0"/>
          <w:numId w:val="10"/>
        </w:numPr>
        <w:spacing w:after="120"/>
        <w:rPr>
          <w:i/>
          <w:iCs/>
          <w:color w:val="0070C0"/>
          <w:szCs w:val="21"/>
        </w:rPr>
      </w:pPr>
      <w:r w:rsidRPr="000121CA">
        <w:rPr>
          <w:i/>
          <w:iCs/>
          <w:color w:val="0070C0"/>
          <w:szCs w:val="21"/>
        </w:rPr>
        <w:t xml:space="preserve">For schools offering </w:t>
      </w:r>
      <w:r w:rsidRPr="000121CA">
        <w:rPr>
          <w:b/>
          <w:i/>
          <w:iCs/>
          <w:color w:val="0070C0"/>
          <w:szCs w:val="21"/>
        </w:rPr>
        <w:t>boarding</w:t>
      </w:r>
      <w:r w:rsidRPr="000121CA">
        <w:rPr>
          <w:i/>
          <w:iCs/>
          <w:color w:val="0070C0"/>
          <w:szCs w:val="21"/>
        </w:rPr>
        <w:t>:</w:t>
      </w:r>
    </w:p>
    <w:p w14:paraId="45895D20" w14:textId="77777777" w:rsidR="00E35230" w:rsidRPr="0040122F" w:rsidRDefault="00E35230" w:rsidP="00E35230">
      <w:pPr>
        <w:rPr>
          <w:rFonts w:cstheme="majorHAnsi"/>
        </w:rPr>
      </w:pPr>
      <w:bookmarkStart w:id="0" w:name="_Hlk93924904"/>
      <w:r w:rsidRPr="0040122F">
        <w:rPr>
          <w:rFonts w:cstheme="majorHAnsi"/>
        </w:rPr>
        <w:t xml:space="preserve">Provide any documents that demonstrate how </w:t>
      </w:r>
      <w:r>
        <w:rPr>
          <w:rFonts w:cstheme="majorHAnsi"/>
        </w:rPr>
        <w:t xml:space="preserve">you, as the education provider, will comply </w:t>
      </w:r>
      <w:r w:rsidRPr="0040122F">
        <w:rPr>
          <w:rFonts w:cstheme="majorHAnsi"/>
        </w:rPr>
        <w:t xml:space="preserve">with the requirements of Standard 5 </w:t>
      </w:r>
      <w:r>
        <w:rPr>
          <w:rFonts w:cstheme="majorHAnsi"/>
        </w:rPr>
        <w:t>– these may include</w:t>
      </w:r>
    </w:p>
    <w:p w14:paraId="41C65E94" w14:textId="77777777" w:rsidR="00E35230" w:rsidRPr="00E143DC" w:rsidRDefault="00E35230" w:rsidP="00E35230">
      <w:pPr>
        <w:pStyle w:val="ListParagraph"/>
        <w:numPr>
          <w:ilvl w:val="1"/>
          <w:numId w:val="6"/>
        </w:numPr>
        <w:spacing w:after="120"/>
        <w:ind w:hanging="357"/>
        <w:contextualSpacing w:val="0"/>
        <w:rPr>
          <w:rFonts w:cstheme="majorHAnsi"/>
          <w:szCs w:val="21"/>
        </w:rPr>
      </w:pPr>
      <w:r w:rsidRPr="00E143DC">
        <w:rPr>
          <w:rFonts w:cstheme="majorHAnsi"/>
          <w:szCs w:val="21"/>
        </w:rPr>
        <w:t>code of conduct / behavioural expectations</w:t>
      </w:r>
      <w:r>
        <w:rPr>
          <w:rFonts w:cstheme="majorHAnsi"/>
          <w:szCs w:val="21"/>
        </w:rPr>
        <w:t>, if specific to international students</w:t>
      </w:r>
    </w:p>
    <w:p w14:paraId="72273851" w14:textId="77777777" w:rsidR="00E35230" w:rsidRPr="0040122F" w:rsidRDefault="00E35230" w:rsidP="00E35230">
      <w:pPr>
        <w:numPr>
          <w:ilvl w:val="1"/>
          <w:numId w:val="6"/>
        </w:numPr>
        <w:spacing w:after="120"/>
        <w:ind w:hanging="357"/>
        <w:rPr>
          <w:rFonts w:cstheme="majorHAnsi"/>
        </w:rPr>
      </w:pPr>
      <w:r w:rsidRPr="0040122F">
        <w:rPr>
          <w:rFonts w:cstheme="majorHAnsi"/>
        </w:rPr>
        <w:t>processes for ongoing monitoring of boarder well-being, and the support available</w:t>
      </w:r>
    </w:p>
    <w:p w14:paraId="65A8727C" w14:textId="77777777" w:rsidR="00E35230" w:rsidRPr="0040122F" w:rsidRDefault="00E35230" w:rsidP="00E35230">
      <w:pPr>
        <w:numPr>
          <w:ilvl w:val="1"/>
          <w:numId w:val="6"/>
        </w:numPr>
        <w:spacing w:after="120"/>
        <w:ind w:hanging="357"/>
        <w:rPr>
          <w:rFonts w:cstheme="majorHAnsi"/>
        </w:rPr>
      </w:pPr>
      <w:r w:rsidRPr="0040122F">
        <w:rPr>
          <w:rFonts w:cstheme="majorHAnsi"/>
        </w:rPr>
        <w:t xml:space="preserve">processes for ensuring regular communication between </w:t>
      </w:r>
      <w:r>
        <w:rPr>
          <w:rFonts w:cstheme="majorHAnsi"/>
        </w:rPr>
        <w:t>you</w:t>
      </w:r>
      <w:r w:rsidRPr="0040122F">
        <w:rPr>
          <w:rFonts w:cstheme="majorHAnsi"/>
        </w:rPr>
        <w:t xml:space="preserve"> and parents of overseas students throughout their residency</w:t>
      </w:r>
    </w:p>
    <w:p w14:paraId="0A3CF104" w14:textId="77777777" w:rsidR="00E35230" w:rsidRPr="0040122F" w:rsidRDefault="00E35230" w:rsidP="00E35230">
      <w:pPr>
        <w:numPr>
          <w:ilvl w:val="1"/>
          <w:numId w:val="6"/>
        </w:numPr>
        <w:spacing w:after="120"/>
        <w:ind w:hanging="357"/>
        <w:rPr>
          <w:rFonts w:cstheme="majorHAnsi"/>
        </w:rPr>
      </w:pPr>
      <w:r w:rsidRPr="0040122F">
        <w:rPr>
          <w:rFonts w:cstheme="majorHAnsi"/>
        </w:rPr>
        <w:t>processes for risk mitigation</w:t>
      </w:r>
      <w:r>
        <w:rPr>
          <w:rFonts w:cstheme="majorHAnsi"/>
        </w:rPr>
        <w:t xml:space="preserve">, including </w:t>
      </w:r>
      <w:r w:rsidRPr="0040122F">
        <w:rPr>
          <w:rFonts w:cstheme="majorHAnsi"/>
        </w:rPr>
        <w:t>emergency contact, serious incident management, re-location strategy</w:t>
      </w:r>
    </w:p>
    <w:bookmarkEnd w:id="0"/>
    <w:p w14:paraId="5EF6E47E" w14:textId="77777777" w:rsidR="00E35230" w:rsidRDefault="00E35230" w:rsidP="00E35230">
      <w:pPr>
        <w:rPr>
          <w:rFonts w:cstheme="majorHAnsi"/>
          <w:szCs w:val="21"/>
        </w:rPr>
      </w:pPr>
    </w:p>
    <w:p w14:paraId="40A89EE6" w14:textId="77777777" w:rsidR="00E35230" w:rsidRPr="000121CA" w:rsidRDefault="00E35230" w:rsidP="00E35230">
      <w:pPr>
        <w:pStyle w:val="ListParagraph"/>
        <w:numPr>
          <w:ilvl w:val="0"/>
          <w:numId w:val="10"/>
        </w:numPr>
        <w:spacing w:after="120"/>
        <w:rPr>
          <w:i/>
          <w:iCs/>
          <w:color w:val="0070C0"/>
          <w:szCs w:val="21"/>
        </w:rPr>
      </w:pPr>
      <w:r w:rsidRPr="000121CA">
        <w:rPr>
          <w:i/>
          <w:iCs/>
          <w:color w:val="0070C0"/>
          <w:szCs w:val="21"/>
        </w:rPr>
        <w:t xml:space="preserve"> For providers offering homestay in a </w:t>
      </w:r>
      <w:r w:rsidRPr="000121CA">
        <w:rPr>
          <w:b/>
          <w:i/>
          <w:iCs/>
          <w:color w:val="0070C0"/>
          <w:szCs w:val="21"/>
        </w:rPr>
        <w:t>provider-arranged homestay program</w:t>
      </w:r>
      <w:r w:rsidRPr="000121CA">
        <w:rPr>
          <w:i/>
          <w:iCs/>
          <w:color w:val="0070C0"/>
          <w:szCs w:val="21"/>
        </w:rPr>
        <w:t xml:space="preserve">: </w:t>
      </w:r>
      <w:bookmarkStart w:id="1" w:name="_Hlk93924924"/>
    </w:p>
    <w:p w14:paraId="1FE4B154" w14:textId="77777777" w:rsidR="00E35230" w:rsidRPr="0040122F" w:rsidRDefault="00E35230" w:rsidP="00E35230">
      <w:pPr>
        <w:rPr>
          <w:rFonts w:cstheme="majorHAnsi"/>
        </w:rPr>
      </w:pPr>
      <w:r w:rsidRPr="0040122F">
        <w:rPr>
          <w:rFonts w:cstheme="majorHAnsi"/>
        </w:rPr>
        <w:t xml:space="preserve">Provide any documents that demonstrate how </w:t>
      </w:r>
      <w:r>
        <w:rPr>
          <w:rFonts w:cstheme="majorHAnsi"/>
        </w:rPr>
        <w:t xml:space="preserve">you, as the education provider, will comply </w:t>
      </w:r>
      <w:r w:rsidRPr="0040122F">
        <w:rPr>
          <w:rFonts w:cstheme="majorHAnsi"/>
        </w:rPr>
        <w:t xml:space="preserve">with the requirements of Standard 5 </w:t>
      </w:r>
      <w:r>
        <w:rPr>
          <w:rFonts w:cstheme="majorHAnsi"/>
        </w:rPr>
        <w:t>– these may include:</w:t>
      </w:r>
    </w:p>
    <w:p w14:paraId="237399D7" w14:textId="77777777" w:rsidR="00E35230" w:rsidRPr="0040122F" w:rsidRDefault="00E35230" w:rsidP="00E35230">
      <w:pPr>
        <w:numPr>
          <w:ilvl w:val="1"/>
          <w:numId w:val="6"/>
        </w:numPr>
        <w:spacing w:after="120"/>
        <w:rPr>
          <w:rFonts w:cstheme="majorHAnsi"/>
        </w:rPr>
      </w:pPr>
      <w:r w:rsidRPr="0040122F">
        <w:rPr>
          <w:rFonts w:cstheme="majorHAnsi"/>
        </w:rPr>
        <w:t xml:space="preserve">information on the homestay program that is supplied to students and parents (host / </w:t>
      </w:r>
      <w:r>
        <w:rPr>
          <w:rFonts w:cstheme="majorHAnsi"/>
        </w:rPr>
        <w:t xml:space="preserve">education provider </w:t>
      </w:r>
      <w:r w:rsidRPr="0040122F">
        <w:rPr>
          <w:rFonts w:cstheme="majorHAnsi"/>
        </w:rPr>
        <w:t>responsibilities)</w:t>
      </w:r>
    </w:p>
    <w:p w14:paraId="24E19B08" w14:textId="77777777" w:rsidR="00E35230" w:rsidRPr="0040122F" w:rsidRDefault="00E35230" w:rsidP="00E35230">
      <w:pPr>
        <w:numPr>
          <w:ilvl w:val="1"/>
          <w:numId w:val="6"/>
        </w:numPr>
        <w:spacing w:after="120"/>
        <w:rPr>
          <w:rFonts w:cstheme="majorHAnsi"/>
        </w:rPr>
      </w:pPr>
      <w:r w:rsidRPr="0040122F">
        <w:rPr>
          <w:rFonts w:cstheme="majorHAnsi"/>
        </w:rPr>
        <w:t>homestay host application form and / or process</w:t>
      </w:r>
    </w:p>
    <w:p w14:paraId="7E055825" w14:textId="77777777" w:rsidR="00E35230" w:rsidRPr="0040122F" w:rsidRDefault="00E35230" w:rsidP="00E35230">
      <w:pPr>
        <w:numPr>
          <w:ilvl w:val="1"/>
          <w:numId w:val="6"/>
        </w:numPr>
        <w:spacing w:after="120"/>
        <w:rPr>
          <w:rFonts w:cstheme="majorHAnsi"/>
        </w:rPr>
      </w:pPr>
      <w:r w:rsidRPr="0040122F">
        <w:rPr>
          <w:rFonts w:cstheme="majorHAnsi"/>
        </w:rPr>
        <w:t>homestay family selection criteria</w:t>
      </w:r>
    </w:p>
    <w:p w14:paraId="2E138645" w14:textId="77777777" w:rsidR="00E35230" w:rsidRPr="0040122F" w:rsidRDefault="00E35230" w:rsidP="00E35230">
      <w:pPr>
        <w:numPr>
          <w:ilvl w:val="1"/>
          <w:numId w:val="6"/>
        </w:numPr>
        <w:spacing w:after="120"/>
        <w:rPr>
          <w:rFonts w:cstheme="majorHAnsi"/>
        </w:rPr>
      </w:pPr>
      <w:r w:rsidRPr="0040122F">
        <w:rPr>
          <w:rFonts w:cstheme="majorHAnsi"/>
        </w:rPr>
        <w:t>home visit checklist</w:t>
      </w:r>
    </w:p>
    <w:p w14:paraId="3E12BE3D" w14:textId="77777777" w:rsidR="00E35230" w:rsidRPr="0040122F" w:rsidRDefault="00E35230" w:rsidP="00E35230">
      <w:pPr>
        <w:numPr>
          <w:ilvl w:val="1"/>
          <w:numId w:val="6"/>
        </w:numPr>
        <w:spacing w:after="120"/>
        <w:rPr>
          <w:rFonts w:cstheme="majorHAnsi"/>
        </w:rPr>
      </w:pPr>
      <w:r w:rsidRPr="0040122F">
        <w:rPr>
          <w:rFonts w:cstheme="majorHAnsi"/>
        </w:rPr>
        <w:t>homestay contracts (e.g., host family / student)</w:t>
      </w:r>
    </w:p>
    <w:p w14:paraId="7018F456" w14:textId="77777777" w:rsidR="00E35230" w:rsidRPr="0040122F" w:rsidRDefault="00E35230" w:rsidP="00E35230">
      <w:pPr>
        <w:numPr>
          <w:ilvl w:val="1"/>
          <w:numId w:val="6"/>
        </w:numPr>
        <w:spacing w:after="120"/>
        <w:rPr>
          <w:rFonts w:cstheme="majorHAnsi"/>
        </w:rPr>
      </w:pPr>
      <w:r w:rsidRPr="0040122F">
        <w:rPr>
          <w:rFonts w:cstheme="majorHAnsi"/>
        </w:rPr>
        <w:t>orientation program for new homestay hosts</w:t>
      </w:r>
    </w:p>
    <w:p w14:paraId="086280B4" w14:textId="77777777" w:rsidR="00E35230" w:rsidRPr="0040122F" w:rsidRDefault="00E35230" w:rsidP="00E35230">
      <w:pPr>
        <w:numPr>
          <w:ilvl w:val="1"/>
          <w:numId w:val="6"/>
        </w:numPr>
        <w:spacing w:after="120"/>
        <w:rPr>
          <w:rFonts w:cstheme="majorHAnsi"/>
        </w:rPr>
      </w:pPr>
      <w:r w:rsidRPr="0040122F">
        <w:rPr>
          <w:rFonts w:cstheme="majorHAnsi"/>
        </w:rPr>
        <w:t>blue card monitoring process or template register</w:t>
      </w:r>
    </w:p>
    <w:p w14:paraId="45F03DCD" w14:textId="77777777" w:rsidR="00E35230" w:rsidRPr="0040122F" w:rsidRDefault="00E35230" w:rsidP="00E35230">
      <w:pPr>
        <w:numPr>
          <w:ilvl w:val="1"/>
          <w:numId w:val="6"/>
        </w:numPr>
        <w:spacing w:after="120"/>
        <w:rPr>
          <w:rFonts w:cstheme="majorHAnsi"/>
        </w:rPr>
      </w:pPr>
      <w:r w:rsidRPr="0040122F">
        <w:rPr>
          <w:rFonts w:cstheme="majorHAnsi"/>
        </w:rPr>
        <w:t>homestay student monitoring process</w:t>
      </w:r>
    </w:p>
    <w:p w14:paraId="2C7FB518" w14:textId="77777777" w:rsidR="00E35230" w:rsidRPr="0040122F" w:rsidRDefault="00E35230" w:rsidP="00E35230">
      <w:pPr>
        <w:numPr>
          <w:ilvl w:val="1"/>
          <w:numId w:val="6"/>
        </w:numPr>
        <w:spacing w:after="120"/>
        <w:rPr>
          <w:rFonts w:cstheme="majorHAnsi"/>
        </w:rPr>
      </w:pPr>
      <w:r w:rsidRPr="0040122F">
        <w:rPr>
          <w:rFonts w:cstheme="majorHAnsi"/>
        </w:rPr>
        <w:t>homestay student / host family survey</w:t>
      </w:r>
    </w:p>
    <w:p w14:paraId="3A532878" w14:textId="77777777" w:rsidR="00E35230" w:rsidRDefault="00E35230" w:rsidP="00E35230">
      <w:pPr>
        <w:numPr>
          <w:ilvl w:val="1"/>
          <w:numId w:val="6"/>
        </w:numPr>
        <w:spacing w:after="120"/>
        <w:rPr>
          <w:rFonts w:cstheme="majorHAnsi"/>
        </w:rPr>
      </w:pPr>
      <w:r w:rsidRPr="0040122F">
        <w:rPr>
          <w:rFonts w:cstheme="majorHAnsi"/>
        </w:rPr>
        <w:t>homestay risk mitigation strategy e.g., 24-hour emergency contact, serious incident management, re-location plan</w:t>
      </w:r>
    </w:p>
    <w:p w14:paraId="234459C3" w14:textId="77777777" w:rsidR="00E35230" w:rsidRPr="000554F6" w:rsidRDefault="00E35230" w:rsidP="00E35230">
      <w:pPr>
        <w:numPr>
          <w:ilvl w:val="1"/>
          <w:numId w:val="6"/>
        </w:numPr>
        <w:spacing w:after="120"/>
        <w:rPr>
          <w:rFonts w:cstheme="majorHAnsi"/>
        </w:rPr>
      </w:pPr>
      <w:r w:rsidRPr="000554F6">
        <w:rPr>
          <w:rFonts w:cstheme="majorHAnsi"/>
        </w:rPr>
        <w:t>process for confirming with parents the student’s safe arrival onshore or in home country, as agreed</w:t>
      </w:r>
    </w:p>
    <w:bookmarkEnd w:id="1"/>
    <w:p w14:paraId="10346356" w14:textId="56DBB944" w:rsidR="00E35230" w:rsidRDefault="00E35230" w:rsidP="00E35230">
      <w:pPr>
        <w:rPr>
          <w:rFonts w:cstheme="majorHAnsi"/>
          <w:szCs w:val="21"/>
        </w:rPr>
      </w:pPr>
    </w:p>
    <w:p w14:paraId="465F4B15" w14:textId="77777777" w:rsidR="00E35230" w:rsidRDefault="00E35230" w:rsidP="00E35230">
      <w:pPr>
        <w:rPr>
          <w:rFonts w:cstheme="majorHAnsi"/>
          <w:szCs w:val="21"/>
        </w:rPr>
      </w:pPr>
    </w:p>
    <w:p w14:paraId="44D39762" w14:textId="77777777" w:rsidR="00E35230" w:rsidRPr="000121CA" w:rsidRDefault="00E35230" w:rsidP="00E35230">
      <w:pPr>
        <w:pStyle w:val="ListParagraph"/>
        <w:numPr>
          <w:ilvl w:val="0"/>
          <w:numId w:val="10"/>
        </w:numPr>
        <w:spacing w:after="120"/>
        <w:rPr>
          <w:szCs w:val="21"/>
        </w:rPr>
      </w:pPr>
      <w:r w:rsidRPr="000121CA">
        <w:rPr>
          <w:i/>
          <w:iCs/>
          <w:color w:val="0070C0"/>
          <w:szCs w:val="21"/>
        </w:rPr>
        <w:lastRenderedPageBreak/>
        <w:t xml:space="preserve">For providers offering homestay via </w:t>
      </w:r>
      <w:r w:rsidRPr="000121CA">
        <w:rPr>
          <w:b/>
          <w:bCs/>
          <w:i/>
          <w:iCs/>
          <w:color w:val="0070C0"/>
          <w:szCs w:val="21"/>
        </w:rPr>
        <w:t>parent-requested</w:t>
      </w:r>
      <w:r w:rsidRPr="000121CA">
        <w:rPr>
          <w:i/>
          <w:iCs/>
          <w:color w:val="0070C0"/>
          <w:szCs w:val="21"/>
        </w:rPr>
        <w:t xml:space="preserve"> accommodation arrangements</w:t>
      </w:r>
      <w:r w:rsidRPr="000121CA">
        <w:rPr>
          <w:szCs w:val="21"/>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016"/>
      </w:tblGrid>
      <w:tr w:rsidR="00E35230" w:rsidRPr="0040122F" w14:paraId="0D232A5B" w14:textId="77777777" w:rsidTr="0055217F">
        <w:tc>
          <w:tcPr>
            <w:tcW w:w="9016" w:type="dxa"/>
            <w:shd w:val="clear" w:color="auto" w:fill="DEEAF6" w:themeFill="accent5" w:themeFillTint="33"/>
          </w:tcPr>
          <w:p w14:paraId="04636CD6" w14:textId="77777777" w:rsidR="00E35230" w:rsidRPr="0040122F" w:rsidRDefault="00E35230" w:rsidP="0055217F">
            <w:pPr>
              <w:rPr>
                <w:rFonts w:cstheme="majorHAnsi"/>
                <w:bCs/>
              </w:rPr>
            </w:pPr>
            <w:bookmarkStart w:id="2" w:name="_Hlk93925025"/>
            <w:r w:rsidRPr="0040122F">
              <w:rPr>
                <w:rFonts w:cstheme="majorHAnsi"/>
                <w:bCs/>
              </w:rPr>
              <w:t xml:space="preserve">Parent-requested accommodation arrangements are limited to those circumstances where the overseas parent personally knows the nominated homestay carer. </w:t>
            </w:r>
          </w:p>
          <w:p w14:paraId="7553063C" w14:textId="77777777" w:rsidR="00E35230" w:rsidRPr="0040122F" w:rsidRDefault="00E35230" w:rsidP="0055217F">
            <w:pPr>
              <w:rPr>
                <w:rFonts w:cstheme="majorHAnsi"/>
                <w:bCs/>
                <w:szCs w:val="21"/>
              </w:rPr>
            </w:pPr>
            <w:r w:rsidRPr="0040122F">
              <w:rPr>
                <w:rFonts w:cstheme="majorHAnsi"/>
                <w:bCs/>
              </w:rPr>
              <w:t xml:space="preserve">Where there is no personal relationship between parent and carer (e.g., an education agent or other party is nominating a host on the parent’s behalf), the </w:t>
            </w:r>
            <w:r>
              <w:rPr>
                <w:rFonts w:cstheme="majorHAnsi"/>
                <w:bCs/>
              </w:rPr>
              <w:t xml:space="preserve">provider </w:t>
            </w:r>
            <w:r w:rsidRPr="0040122F">
              <w:rPr>
                <w:rFonts w:cstheme="majorHAnsi"/>
                <w:bCs/>
              </w:rPr>
              <w:t xml:space="preserve">must instead meet the compliance requirements for approving and monitoring a </w:t>
            </w:r>
            <w:r w:rsidRPr="0040122F">
              <w:rPr>
                <w:rFonts w:cstheme="majorHAnsi"/>
                <w:bCs/>
                <w:i/>
                <w:iCs/>
              </w:rPr>
              <w:t>school-arranged</w:t>
            </w:r>
            <w:r w:rsidRPr="0040122F">
              <w:rPr>
                <w:rFonts w:cstheme="majorHAnsi"/>
                <w:bCs/>
              </w:rPr>
              <w:t xml:space="preserve"> homestay arrangement, as outlined above.</w:t>
            </w:r>
          </w:p>
        </w:tc>
      </w:tr>
    </w:tbl>
    <w:bookmarkEnd w:id="2"/>
    <w:p w14:paraId="191C9098" w14:textId="77777777" w:rsidR="00E35230" w:rsidRPr="0040122F" w:rsidRDefault="00E35230" w:rsidP="00E35230">
      <w:pPr>
        <w:rPr>
          <w:rFonts w:cstheme="majorHAnsi"/>
        </w:rPr>
      </w:pPr>
      <w:r w:rsidRPr="0040122F">
        <w:rPr>
          <w:rFonts w:cstheme="majorHAnsi"/>
        </w:rPr>
        <w:t xml:space="preserve">Provide any documents that demonstrate how </w:t>
      </w:r>
      <w:r>
        <w:rPr>
          <w:rFonts w:cstheme="majorHAnsi"/>
        </w:rPr>
        <w:t xml:space="preserve">you, as the education provider, will comply </w:t>
      </w:r>
      <w:r w:rsidRPr="0040122F">
        <w:rPr>
          <w:rFonts w:cstheme="majorHAnsi"/>
        </w:rPr>
        <w:t xml:space="preserve">with the requirements of Standard 5 </w:t>
      </w:r>
      <w:r>
        <w:rPr>
          <w:rFonts w:cstheme="majorHAnsi"/>
        </w:rPr>
        <w:t>– these may include</w:t>
      </w:r>
    </w:p>
    <w:p w14:paraId="77E3DF26" w14:textId="77777777" w:rsidR="00E35230" w:rsidRPr="0040122F" w:rsidRDefault="00E35230" w:rsidP="00E35230">
      <w:pPr>
        <w:numPr>
          <w:ilvl w:val="1"/>
          <w:numId w:val="6"/>
        </w:numPr>
        <w:spacing w:after="120"/>
        <w:rPr>
          <w:rFonts w:cstheme="majorHAnsi"/>
          <w:lang w:val="en-GB"/>
        </w:rPr>
      </w:pPr>
      <w:r w:rsidRPr="0040122F">
        <w:rPr>
          <w:rFonts w:cstheme="majorHAnsi"/>
        </w:rPr>
        <w:t xml:space="preserve">information on the homestay program that is supplied to students and parents (host / </w:t>
      </w:r>
      <w:r>
        <w:rPr>
          <w:rFonts w:cstheme="majorHAnsi"/>
        </w:rPr>
        <w:t>education provider</w:t>
      </w:r>
      <w:r w:rsidRPr="0040122F">
        <w:rPr>
          <w:rFonts w:cstheme="majorHAnsi"/>
        </w:rPr>
        <w:t xml:space="preserve"> responsibilities)</w:t>
      </w:r>
      <w:r w:rsidRPr="0040122F">
        <w:rPr>
          <w:rFonts w:cstheme="majorHAnsi"/>
          <w:lang w:val="en-GB"/>
        </w:rPr>
        <w:t xml:space="preserve">, including advice that the </w:t>
      </w:r>
      <w:r>
        <w:rPr>
          <w:rFonts w:cstheme="majorHAnsi"/>
          <w:lang w:val="en-GB"/>
        </w:rPr>
        <w:t>education provider</w:t>
      </w:r>
      <w:r w:rsidRPr="0040122F">
        <w:rPr>
          <w:rFonts w:cstheme="majorHAnsi"/>
          <w:lang w:val="en-GB"/>
        </w:rPr>
        <w:t xml:space="preserve"> retains welfare responsibility</w:t>
      </w:r>
    </w:p>
    <w:p w14:paraId="7BF49D07" w14:textId="77777777" w:rsidR="00E35230" w:rsidRPr="0040122F" w:rsidRDefault="00E35230" w:rsidP="00E35230">
      <w:pPr>
        <w:numPr>
          <w:ilvl w:val="1"/>
          <w:numId w:val="6"/>
        </w:numPr>
        <w:spacing w:after="120"/>
        <w:rPr>
          <w:rFonts w:cstheme="majorHAnsi"/>
        </w:rPr>
      </w:pPr>
      <w:r w:rsidRPr="0040122F">
        <w:rPr>
          <w:rFonts w:cstheme="majorHAnsi"/>
        </w:rPr>
        <w:t>process for checking the initial suitability of the requested host family, including ensuring the nominated hosts are personally known to the overseas parent</w:t>
      </w:r>
    </w:p>
    <w:p w14:paraId="723908DB" w14:textId="77777777" w:rsidR="00E35230" w:rsidRPr="0040122F" w:rsidRDefault="00E35230" w:rsidP="00E35230">
      <w:pPr>
        <w:numPr>
          <w:ilvl w:val="1"/>
          <w:numId w:val="6"/>
        </w:numPr>
        <w:spacing w:after="120"/>
        <w:rPr>
          <w:rFonts w:cstheme="majorHAnsi"/>
        </w:rPr>
      </w:pPr>
      <w:r w:rsidRPr="0040122F">
        <w:rPr>
          <w:rFonts w:cstheme="majorHAnsi"/>
        </w:rPr>
        <w:t>home visit checklist</w:t>
      </w:r>
    </w:p>
    <w:p w14:paraId="1115A861" w14:textId="77777777" w:rsidR="00E35230" w:rsidRPr="0040122F" w:rsidRDefault="00E35230" w:rsidP="00E35230">
      <w:pPr>
        <w:numPr>
          <w:ilvl w:val="1"/>
          <w:numId w:val="6"/>
        </w:numPr>
        <w:spacing w:after="120"/>
        <w:rPr>
          <w:rFonts w:cstheme="majorHAnsi"/>
        </w:rPr>
      </w:pPr>
      <w:r w:rsidRPr="0040122F">
        <w:rPr>
          <w:rFonts w:cstheme="majorHAnsi"/>
        </w:rPr>
        <w:t>homestay contract (e.g., host family / student)</w:t>
      </w:r>
    </w:p>
    <w:p w14:paraId="06E95D98" w14:textId="77777777" w:rsidR="00E35230" w:rsidRPr="0040122F" w:rsidRDefault="00E35230" w:rsidP="00E35230">
      <w:pPr>
        <w:numPr>
          <w:ilvl w:val="1"/>
          <w:numId w:val="6"/>
        </w:numPr>
        <w:spacing w:after="120"/>
        <w:rPr>
          <w:rFonts w:cstheme="majorHAnsi"/>
        </w:rPr>
      </w:pPr>
      <w:r w:rsidRPr="0040122F">
        <w:rPr>
          <w:rFonts w:cstheme="majorHAnsi"/>
        </w:rPr>
        <w:t>orientation for accepted homestay hosts</w:t>
      </w:r>
    </w:p>
    <w:p w14:paraId="41B84737" w14:textId="77777777" w:rsidR="00E35230" w:rsidRPr="0040122F" w:rsidRDefault="00E35230" w:rsidP="00E35230">
      <w:pPr>
        <w:numPr>
          <w:ilvl w:val="1"/>
          <w:numId w:val="6"/>
        </w:numPr>
        <w:spacing w:after="120"/>
        <w:rPr>
          <w:rFonts w:cstheme="majorHAnsi"/>
        </w:rPr>
      </w:pPr>
      <w:r w:rsidRPr="0040122F">
        <w:rPr>
          <w:rFonts w:cstheme="majorHAnsi"/>
        </w:rPr>
        <w:t>blue card monitoring process or template register</w:t>
      </w:r>
    </w:p>
    <w:p w14:paraId="5590EF42" w14:textId="77777777" w:rsidR="00E35230" w:rsidRPr="0040122F" w:rsidRDefault="00E35230" w:rsidP="00E35230">
      <w:pPr>
        <w:numPr>
          <w:ilvl w:val="1"/>
          <w:numId w:val="6"/>
        </w:numPr>
        <w:spacing w:after="120"/>
        <w:rPr>
          <w:rFonts w:cstheme="majorHAnsi"/>
        </w:rPr>
      </w:pPr>
      <w:r w:rsidRPr="0040122F">
        <w:rPr>
          <w:rFonts w:cstheme="majorHAnsi"/>
        </w:rPr>
        <w:t>homestay student monitoring process</w:t>
      </w:r>
    </w:p>
    <w:p w14:paraId="34378E7E" w14:textId="77777777" w:rsidR="00E35230" w:rsidRPr="0040122F" w:rsidRDefault="00E35230" w:rsidP="00E35230">
      <w:pPr>
        <w:numPr>
          <w:ilvl w:val="1"/>
          <w:numId w:val="6"/>
        </w:numPr>
        <w:spacing w:after="120"/>
        <w:rPr>
          <w:rFonts w:cstheme="majorHAnsi"/>
        </w:rPr>
      </w:pPr>
      <w:r w:rsidRPr="0040122F">
        <w:rPr>
          <w:rFonts w:cstheme="majorHAnsi"/>
        </w:rPr>
        <w:t>homestay risk mitigation strategy e.g., 24-hour emergency contact, serious incident management, re-location plan</w:t>
      </w:r>
    </w:p>
    <w:p w14:paraId="5262579B" w14:textId="50D03540" w:rsidR="00E35230" w:rsidRDefault="00E35230" w:rsidP="00E35230">
      <w:pPr>
        <w:numPr>
          <w:ilvl w:val="1"/>
          <w:numId w:val="6"/>
        </w:numPr>
        <w:spacing w:after="120"/>
        <w:rPr>
          <w:rFonts w:cstheme="majorHAnsi"/>
        </w:rPr>
      </w:pPr>
      <w:r w:rsidRPr="0040122F">
        <w:rPr>
          <w:rFonts w:cstheme="majorHAnsi"/>
        </w:rPr>
        <w:t>process for confirming with parents the student’s safe arrival onshore or in home country, as agreed</w:t>
      </w:r>
    </w:p>
    <w:p w14:paraId="5E97C32C" w14:textId="77777777" w:rsidR="00E35230" w:rsidRPr="0040122F" w:rsidRDefault="00E35230" w:rsidP="00E35230">
      <w:pPr>
        <w:spacing w:after="120"/>
        <w:rPr>
          <w:rFonts w:cstheme="majorHAnsi"/>
        </w:rPr>
      </w:pPr>
    </w:p>
    <w:p w14:paraId="21C7BB5D" w14:textId="77777777" w:rsidR="00E35230" w:rsidRPr="000121CA" w:rsidRDefault="00E35230" w:rsidP="00E35230">
      <w:pPr>
        <w:pStyle w:val="ListParagraph"/>
        <w:numPr>
          <w:ilvl w:val="0"/>
          <w:numId w:val="10"/>
        </w:numPr>
        <w:spacing w:after="120"/>
        <w:rPr>
          <w:szCs w:val="21"/>
        </w:rPr>
      </w:pPr>
      <w:r w:rsidRPr="000121CA">
        <w:rPr>
          <w:i/>
          <w:iCs/>
          <w:color w:val="0070C0"/>
          <w:szCs w:val="21"/>
        </w:rPr>
        <w:t xml:space="preserve">For providers offering homestay in </w:t>
      </w:r>
      <w:r w:rsidRPr="000121CA">
        <w:rPr>
          <w:b/>
          <w:bCs/>
          <w:i/>
          <w:iCs/>
          <w:color w:val="0070C0"/>
          <w:szCs w:val="21"/>
        </w:rPr>
        <w:t>third-party arranged homestay program</w:t>
      </w:r>
      <w:r w:rsidRPr="000121CA">
        <w:rPr>
          <w:i/>
          <w:iCs/>
          <w:color w:val="0070C0"/>
          <w:szCs w:val="21"/>
        </w:rPr>
        <w:t>:</w:t>
      </w:r>
    </w:p>
    <w:p w14:paraId="066BA166" w14:textId="77777777" w:rsidR="00E35230" w:rsidRPr="0040122F" w:rsidRDefault="00E35230" w:rsidP="00E35230">
      <w:pPr>
        <w:rPr>
          <w:rFonts w:cstheme="majorHAnsi"/>
        </w:rPr>
      </w:pPr>
      <w:bookmarkStart w:id="3" w:name="_Hlk93924974"/>
      <w:r w:rsidRPr="0040122F">
        <w:rPr>
          <w:rFonts w:cstheme="majorHAnsi"/>
        </w:rPr>
        <w:t xml:space="preserve">Provide any documents that demonstrate how </w:t>
      </w:r>
      <w:r>
        <w:rPr>
          <w:rFonts w:cstheme="majorHAnsi"/>
        </w:rPr>
        <w:t xml:space="preserve">you, as the education provider, will comply </w:t>
      </w:r>
      <w:r w:rsidRPr="0040122F">
        <w:rPr>
          <w:rFonts w:cstheme="majorHAnsi"/>
        </w:rPr>
        <w:t xml:space="preserve">with the requirements of Standard 5 </w:t>
      </w:r>
      <w:r>
        <w:rPr>
          <w:rFonts w:cstheme="majorHAnsi"/>
        </w:rPr>
        <w:t>– these may include:</w:t>
      </w:r>
    </w:p>
    <w:p w14:paraId="6A1B8BE3" w14:textId="77777777" w:rsidR="00E35230" w:rsidRPr="0040122F" w:rsidRDefault="00E35230" w:rsidP="00E35230">
      <w:pPr>
        <w:numPr>
          <w:ilvl w:val="0"/>
          <w:numId w:val="11"/>
        </w:numPr>
        <w:spacing w:after="120"/>
        <w:jc w:val="left"/>
        <w:rPr>
          <w:rFonts w:cstheme="majorHAnsi"/>
        </w:rPr>
      </w:pPr>
      <w:r w:rsidRPr="0040122F">
        <w:rPr>
          <w:rFonts w:cstheme="majorHAnsi"/>
        </w:rPr>
        <w:t>a copy of the current Memorandum of Understanding (MOU), or another contract between</w:t>
      </w:r>
      <w:r>
        <w:rPr>
          <w:rFonts w:cstheme="majorHAnsi"/>
        </w:rPr>
        <w:t xml:space="preserve"> you, as the education provider, </w:t>
      </w:r>
      <w:r w:rsidRPr="0040122F">
        <w:rPr>
          <w:rFonts w:cstheme="majorHAnsi"/>
        </w:rPr>
        <w:t>and</w:t>
      </w:r>
      <w:r>
        <w:rPr>
          <w:rFonts w:cstheme="majorHAnsi"/>
        </w:rPr>
        <w:t xml:space="preserve"> the</w:t>
      </w:r>
      <w:r w:rsidRPr="0040122F">
        <w:rPr>
          <w:rFonts w:cstheme="majorHAnsi"/>
        </w:rPr>
        <w:t xml:space="preserve"> third-party homestay provider</w:t>
      </w:r>
    </w:p>
    <w:bookmarkEnd w:id="3"/>
    <w:p w14:paraId="3DD26865" w14:textId="77777777" w:rsidR="00E35230" w:rsidRPr="0040122F" w:rsidRDefault="00E35230" w:rsidP="00E35230">
      <w:pPr>
        <w:numPr>
          <w:ilvl w:val="0"/>
          <w:numId w:val="11"/>
        </w:numPr>
        <w:spacing w:after="120"/>
        <w:jc w:val="left"/>
        <w:rPr>
          <w:rFonts w:cstheme="majorHAnsi"/>
        </w:rPr>
      </w:pPr>
      <w:r w:rsidRPr="0040122F">
        <w:rPr>
          <w:rFonts w:cstheme="majorHAnsi"/>
        </w:rPr>
        <w:t xml:space="preserve">If not covered under the MOU or contract, provide any documents that further demonstrate how </w:t>
      </w:r>
      <w:r>
        <w:rPr>
          <w:rFonts w:cstheme="majorHAnsi"/>
        </w:rPr>
        <w:t>you will</w:t>
      </w:r>
      <w:r w:rsidRPr="0040122F">
        <w:rPr>
          <w:rFonts w:cstheme="majorHAnsi"/>
        </w:rPr>
        <w:t xml:space="preserve"> compl</w:t>
      </w:r>
      <w:r>
        <w:rPr>
          <w:rFonts w:cstheme="majorHAnsi"/>
        </w:rPr>
        <w:t>y</w:t>
      </w:r>
      <w:r w:rsidRPr="0040122F">
        <w:rPr>
          <w:rFonts w:cstheme="majorHAnsi"/>
        </w:rPr>
        <w:t xml:space="preserve"> with the requirements of Standard 5 e.g.,</w:t>
      </w:r>
    </w:p>
    <w:p w14:paraId="4BFBB7DE" w14:textId="77777777" w:rsidR="00E35230" w:rsidRPr="0040122F" w:rsidRDefault="00E35230" w:rsidP="00E35230">
      <w:pPr>
        <w:numPr>
          <w:ilvl w:val="0"/>
          <w:numId w:val="9"/>
        </w:numPr>
        <w:spacing w:after="120"/>
        <w:jc w:val="left"/>
        <w:rPr>
          <w:rFonts w:cstheme="majorHAnsi"/>
          <w:lang w:val="en-GB"/>
        </w:rPr>
      </w:pPr>
      <w:r w:rsidRPr="0040122F">
        <w:rPr>
          <w:rFonts w:cstheme="majorHAnsi"/>
          <w:lang w:val="en-GB"/>
        </w:rPr>
        <w:t xml:space="preserve">the responsibilities of the third-party homestay provider, </w:t>
      </w:r>
      <w:r>
        <w:rPr>
          <w:rFonts w:cstheme="majorHAnsi"/>
          <w:lang w:val="en-GB"/>
        </w:rPr>
        <w:t>education provider</w:t>
      </w:r>
      <w:r w:rsidRPr="0040122F">
        <w:rPr>
          <w:rFonts w:cstheme="majorHAnsi"/>
          <w:lang w:val="en-GB"/>
        </w:rPr>
        <w:t>, hosts and student</w:t>
      </w:r>
    </w:p>
    <w:p w14:paraId="12C99CF0" w14:textId="77777777" w:rsidR="00E35230" w:rsidRPr="0040122F" w:rsidRDefault="00E35230" w:rsidP="00E35230">
      <w:pPr>
        <w:numPr>
          <w:ilvl w:val="0"/>
          <w:numId w:val="9"/>
        </w:numPr>
        <w:spacing w:after="120"/>
        <w:jc w:val="left"/>
        <w:rPr>
          <w:rFonts w:cstheme="majorHAnsi"/>
          <w:lang w:val="en-GB"/>
        </w:rPr>
      </w:pPr>
      <w:r w:rsidRPr="0040122F">
        <w:rPr>
          <w:rFonts w:cstheme="majorHAnsi"/>
          <w:lang w:val="en-GB"/>
        </w:rPr>
        <w:t xml:space="preserve">confirmation the </w:t>
      </w:r>
      <w:r>
        <w:rPr>
          <w:rFonts w:cstheme="majorHAnsi"/>
          <w:lang w:val="en-GB"/>
        </w:rPr>
        <w:t>education provider</w:t>
      </w:r>
      <w:r w:rsidRPr="0040122F">
        <w:rPr>
          <w:rFonts w:cstheme="majorHAnsi"/>
          <w:lang w:val="en-GB"/>
        </w:rPr>
        <w:t xml:space="preserve"> retains overall responsibility for each student’s welfare</w:t>
      </w:r>
    </w:p>
    <w:p w14:paraId="5B965C22" w14:textId="77777777" w:rsidR="00E35230" w:rsidRPr="0040122F" w:rsidRDefault="00E35230" w:rsidP="00E35230">
      <w:pPr>
        <w:numPr>
          <w:ilvl w:val="0"/>
          <w:numId w:val="9"/>
        </w:numPr>
        <w:spacing w:after="120"/>
        <w:jc w:val="left"/>
        <w:rPr>
          <w:rFonts w:cstheme="majorHAnsi"/>
          <w:lang w:val="en-GB"/>
        </w:rPr>
      </w:pPr>
      <w:r w:rsidRPr="0040122F">
        <w:rPr>
          <w:rFonts w:cstheme="majorHAnsi"/>
          <w:lang w:val="en-GB"/>
        </w:rPr>
        <w:t>child protection measures in place (including the need for blue cards for household members over 18 years)</w:t>
      </w:r>
    </w:p>
    <w:p w14:paraId="32595FFD" w14:textId="77777777" w:rsidR="00E35230" w:rsidRPr="0040122F" w:rsidRDefault="00E35230" w:rsidP="00E35230">
      <w:pPr>
        <w:numPr>
          <w:ilvl w:val="0"/>
          <w:numId w:val="9"/>
        </w:numPr>
        <w:spacing w:after="120"/>
        <w:jc w:val="left"/>
        <w:rPr>
          <w:rFonts w:cstheme="majorHAnsi"/>
          <w:lang w:val="en-GB"/>
        </w:rPr>
      </w:pPr>
      <w:r w:rsidRPr="0040122F">
        <w:rPr>
          <w:rFonts w:cstheme="majorHAnsi"/>
          <w:lang w:val="en-GB"/>
        </w:rPr>
        <w:t>regular support / monitoring of overseas students throughout the placement</w:t>
      </w:r>
    </w:p>
    <w:p w14:paraId="29C44C5F" w14:textId="77777777" w:rsidR="00E35230" w:rsidRPr="0040122F" w:rsidRDefault="00E35230" w:rsidP="00E35230">
      <w:pPr>
        <w:numPr>
          <w:ilvl w:val="0"/>
          <w:numId w:val="9"/>
        </w:numPr>
        <w:spacing w:after="120"/>
        <w:jc w:val="left"/>
        <w:rPr>
          <w:rFonts w:cstheme="majorHAnsi"/>
          <w:lang w:val="en-GB"/>
        </w:rPr>
      </w:pPr>
      <w:r w:rsidRPr="0040122F">
        <w:rPr>
          <w:rFonts w:cstheme="majorHAnsi"/>
          <w:lang w:val="en-GB"/>
        </w:rPr>
        <w:t>risk mitigation strategies e.g., 24-hour emergency contact, serious incident management and re-location strategy</w:t>
      </w:r>
    </w:p>
    <w:p w14:paraId="6AB29BB8" w14:textId="77777777" w:rsidR="00E35230" w:rsidRPr="0040122F" w:rsidRDefault="00E35230" w:rsidP="00E35230">
      <w:pPr>
        <w:numPr>
          <w:ilvl w:val="0"/>
          <w:numId w:val="9"/>
        </w:numPr>
        <w:spacing w:after="120"/>
        <w:jc w:val="left"/>
        <w:rPr>
          <w:rFonts w:cstheme="majorHAnsi"/>
          <w:lang w:val="en-GB"/>
        </w:rPr>
      </w:pPr>
      <w:r w:rsidRPr="0040122F">
        <w:rPr>
          <w:rFonts w:cstheme="majorHAnsi"/>
        </w:rPr>
        <w:t>the staff member who will routinely liaise with the third-party provider and respond to any serious incident identified.</w:t>
      </w:r>
    </w:p>
    <w:p w14:paraId="45E41C8F" w14:textId="77777777" w:rsidR="00E35230" w:rsidRPr="000121CA" w:rsidRDefault="00E35230" w:rsidP="00E35230">
      <w:pPr>
        <w:pStyle w:val="ListParagraph"/>
        <w:numPr>
          <w:ilvl w:val="0"/>
          <w:numId w:val="10"/>
        </w:numPr>
        <w:spacing w:after="120"/>
        <w:rPr>
          <w:i/>
          <w:iCs/>
          <w:color w:val="0070C0"/>
          <w:szCs w:val="21"/>
        </w:rPr>
      </w:pPr>
      <w:bookmarkStart w:id="4" w:name="_Hlk93925059"/>
      <w:r w:rsidRPr="000121CA">
        <w:rPr>
          <w:i/>
          <w:iCs/>
          <w:color w:val="0070C0"/>
          <w:szCs w:val="21"/>
        </w:rPr>
        <w:lastRenderedPageBreak/>
        <w:t xml:space="preserve">For providers allowing </w:t>
      </w:r>
      <w:r w:rsidRPr="00552E12">
        <w:rPr>
          <w:b/>
          <w:bCs/>
          <w:i/>
          <w:iCs/>
          <w:color w:val="0070C0"/>
          <w:szCs w:val="21"/>
        </w:rPr>
        <w:t>onshore vacation stay</w:t>
      </w:r>
      <w:r w:rsidRPr="000121CA">
        <w:rPr>
          <w:i/>
          <w:iCs/>
          <w:color w:val="0070C0"/>
          <w:szCs w:val="21"/>
        </w:rPr>
        <w:t xml:space="preserve"> for students on a CAAW</w:t>
      </w:r>
    </w:p>
    <w:p w14:paraId="5B286A1F" w14:textId="77777777" w:rsidR="00E35230" w:rsidRPr="00CE67B9" w:rsidRDefault="00E35230" w:rsidP="00E35230">
      <w:pPr>
        <w:rPr>
          <w:rFonts w:cstheme="majorHAnsi"/>
          <w:szCs w:val="21"/>
        </w:rPr>
      </w:pPr>
      <w:r w:rsidRPr="00CE67B9">
        <w:rPr>
          <w:rFonts w:cstheme="majorHAnsi"/>
          <w:szCs w:val="21"/>
        </w:rPr>
        <w:t xml:space="preserve">Are overseas students given the option to stay onshore for longer </w:t>
      </w:r>
      <w:r w:rsidRPr="00552E12">
        <w:rPr>
          <w:rFonts w:cstheme="majorHAnsi"/>
          <w:szCs w:val="21"/>
        </w:rPr>
        <w:t>vacation</w:t>
      </w:r>
      <w:r w:rsidRPr="00CE67B9">
        <w:rPr>
          <w:rFonts w:cstheme="majorHAnsi"/>
          <w:szCs w:val="21"/>
        </w:rPr>
        <w:t xml:space="preserve"> periods?</w:t>
      </w:r>
    </w:p>
    <w:p w14:paraId="387C0EBD" w14:textId="77777777" w:rsidR="00E35230" w:rsidRPr="00CE67B9" w:rsidRDefault="00E35230" w:rsidP="00E35230">
      <w:pPr>
        <w:rPr>
          <w:rFonts w:cstheme="majorHAnsi"/>
          <w:szCs w:val="21"/>
        </w:rPr>
      </w:pPr>
      <w:sdt>
        <w:sdtPr>
          <w:rPr>
            <w:rFonts w:cstheme="majorHAnsi"/>
            <w:szCs w:val="21"/>
          </w:rPr>
          <w:id w:val="-1330595477"/>
          <w14:checkbox>
            <w14:checked w14:val="0"/>
            <w14:checkedState w14:val="2612" w14:font="MS Gothic"/>
            <w14:uncheckedState w14:val="2610" w14:font="MS Gothic"/>
          </w14:checkbox>
        </w:sdtPr>
        <w:sdtContent>
          <w:r w:rsidRPr="00CE67B9">
            <w:rPr>
              <w:rFonts w:ascii="Segoe UI Symbol" w:hAnsi="Segoe UI Symbol" w:cs="Segoe UI Symbol"/>
              <w:szCs w:val="21"/>
            </w:rPr>
            <w:t>☐</w:t>
          </w:r>
        </w:sdtContent>
      </w:sdt>
      <w:r w:rsidRPr="00CE67B9">
        <w:rPr>
          <w:rFonts w:cstheme="majorHAnsi"/>
          <w:szCs w:val="21"/>
        </w:rPr>
        <w:t xml:space="preserve">  Yes</w:t>
      </w:r>
      <w:r w:rsidRPr="00CE67B9">
        <w:rPr>
          <w:rFonts w:cstheme="majorHAnsi"/>
          <w:szCs w:val="21"/>
        </w:rPr>
        <w:tab/>
      </w:r>
      <w:r w:rsidRPr="00CE67B9">
        <w:rPr>
          <w:rFonts w:cstheme="majorHAnsi"/>
          <w:szCs w:val="21"/>
        </w:rPr>
        <w:tab/>
      </w:r>
      <w:sdt>
        <w:sdtPr>
          <w:rPr>
            <w:rFonts w:cstheme="majorHAnsi"/>
            <w:szCs w:val="21"/>
          </w:rPr>
          <w:id w:val="-1660063841"/>
          <w14:checkbox>
            <w14:checked w14:val="0"/>
            <w14:checkedState w14:val="2612" w14:font="MS Gothic"/>
            <w14:uncheckedState w14:val="2610" w14:font="MS Gothic"/>
          </w14:checkbox>
        </w:sdtPr>
        <w:sdtContent>
          <w:r w:rsidRPr="00CE67B9">
            <w:rPr>
              <w:rFonts w:ascii="Segoe UI Symbol" w:hAnsi="Segoe UI Symbol" w:cs="Segoe UI Symbol"/>
              <w:szCs w:val="21"/>
            </w:rPr>
            <w:t>☐</w:t>
          </w:r>
        </w:sdtContent>
      </w:sdt>
      <w:r w:rsidRPr="00CE67B9">
        <w:rPr>
          <w:rFonts w:cstheme="majorHAnsi"/>
          <w:szCs w:val="21"/>
        </w:rPr>
        <w:t xml:space="preserve">  No, students must return home overseas</w:t>
      </w:r>
    </w:p>
    <w:p w14:paraId="0A4E3C95" w14:textId="77777777" w:rsidR="00E35230" w:rsidRPr="00802A61" w:rsidRDefault="00E35230" w:rsidP="00E35230">
      <w:pPr>
        <w:rPr>
          <w:rFonts w:cstheme="majorHAnsi"/>
          <w:szCs w:val="21"/>
        </w:rPr>
      </w:pPr>
      <w:r w:rsidRPr="00802A61">
        <w:rPr>
          <w:rFonts w:cstheme="majorHAnsi"/>
          <w:szCs w:val="21"/>
        </w:rPr>
        <w:t xml:space="preserve">If YES, how is </w:t>
      </w:r>
      <w:r>
        <w:rPr>
          <w:rFonts w:cstheme="majorHAnsi"/>
          <w:szCs w:val="21"/>
        </w:rPr>
        <w:t>your</w:t>
      </w:r>
      <w:r w:rsidRPr="00802A61">
        <w:rPr>
          <w:rFonts w:cstheme="majorHAnsi"/>
          <w:szCs w:val="21"/>
        </w:rPr>
        <w:t xml:space="preserve"> vacation program for overseas students managed?</w:t>
      </w:r>
    </w:p>
    <w:bookmarkStart w:id="5" w:name="_Hlk155968507"/>
    <w:p w14:paraId="7676E463" w14:textId="77777777" w:rsidR="00E35230" w:rsidRPr="00CE67B9" w:rsidRDefault="00E35230" w:rsidP="00E35230">
      <w:pPr>
        <w:rPr>
          <w:rFonts w:cstheme="majorHAnsi"/>
          <w:szCs w:val="21"/>
        </w:rPr>
      </w:pPr>
      <w:sdt>
        <w:sdtPr>
          <w:rPr>
            <w:rFonts w:cstheme="majorHAnsi"/>
            <w:szCs w:val="21"/>
          </w:rPr>
          <w:id w:val="798965906"/>
          <w14:checkbox>
            <w14:checked w14:val="0"/>
            <w14:checkedState w14:val="2612" w14:font="MS Gothic"/>
            <w14:uncheckedState w14:val="2610" w14:font="MS Gothic"/>
          </w14:checkbox>
        </w:sdtPr>
        <w:sdtContent>
          <w:r w:rsidRPr="00CE67B9">
            <w:rPr>
              <w:rFonts w:ascii="Segoe UI Symbol" w:hAnsi="Segoe UI Symbol" w:cs="Segoe UI Symbol"/>
              <w:szCs w:val="21"/>
            </w:rPr>
            <w:t>☐</w:t>
          </w:r>
        </w:sdtContent>
      </w:sdt>
      <w:bookmarkEnd w:id="5"/>
      <w:r w:rsidRPr="00CE67B9">
        <w:rPr>
          <w:rFonts w:cstheme="majorHAnsi"/>
          <w:szCs w:val="21"/>
        </w:rPr>
        <w:t xml:space="preserve"> </w:t>
      </w:r>
      <w:r>
        <w:rPr>
          <w:rFonts w:cstheme="majorHAnsi"/>
          <w:szCs w:val="21"/>
        </w:rPr>
        <w:t>provider</w:t>
      </w:r>
      <w:r w:rsidRPr="00CE67B9">
        <w:rPr>
          <w:rFonts w:cstheme="majorHAnsi"/>
          <w:szCs w:val="21"/>
        </w:rPr>
        <w:t xml:space="preserve"> self-manages requests &amp; approvals</w:t>
      </w:r>
      <w:r w:rsidRPr="00CE67B9">
        <w:rPr>
          <w:rFonts w:cstheme="majorHAnsi"/>
          <w:szCs w:val="21"/>
        </w:rPr>
        <w:tab/>
        <w:t xml:space="preserve"> </w:t>
      </w:r>
      <w:sdt>
        <w:sdtPr>
          <w:rPr>
            <w:rFonts w:cstheme="majorHAnsi"/>
            <w:szCs w:val="21"/>
          </w:rPr>
          <w:id w:val="-949155592"/>
          <w14:checkbox>
            <w14:checked w14:val="0"/>
            <w14:checkedState w14:val="2612" w14:font="MS Gothic"/>
            <w14:uncheckedState w14:val="2610" w14:font="MS Gothic"/>
          </w14:checkbox>
        </w:sdtPr>
        <w:sdtContent>
          <w:r w:rsidRPr="00CE67B9">
            <w:rPr>
              <w:rFonts w:ascii="Segoe UI Symbol" w:hAnsi="Segoe UI Symbol" w:cs="Segoe UI Symbol"/>
              <w:szCs w:val="21"/>
            </w:rPr>
            <w:t>☐</w:t>
          </w:r>
        </w:sdtContent>
      </w:sdt>
      <w:r w:rsidRPr="00CE67B9">
        <w:rPr>
          <w:rFonts w:cstheme="majorHAnsi"/>
          <w:szCs w:val="21"/>
        </w:rPr>
        <w:t xml:space="preserve">  via third-party homestay provider</w:t>
      </w:r>
    </w:p>
    <w:p w14:paraId="4A249603" w14:textId="77777777" w:rsidR="00E35230" w:rsidRPr="00CE67B9" w:rsidRDefault="00E35230" w:rsidP="00E35230">
      <w:pPr>
        <w:rPr>
          <w:rFonts w:cstheme="majorHAnsi"/>
          <w:szCs w:val="21"/>
        </w:rPr>
      </w:pPr>
    </w:p>
    <w:p w14:paraId="789BC83A" w14:textId="77777777" w:rsidR="00E35230" w:rsidRPr="00802A61" w:rsidRDefault="00E35230" w:rsidP="00E35230">
      <w:pPr>
        <w:rPr>
          <w:rFonts w:cstheme="majorHAnsi"/>
          <w:color w:val="0070C0"/>
          <w:szCs w:val="21"/>
        </w:rPr>
      </w:pPr>
      <w:r w:rsidRPr="00802A61">
        <w:rPr>
          <w:rFonts w:cstheme="majorHAnsi"/>
          <w:color w:val="0070C0"/>
          <w:szCs w:val="21"/>
        </w:rPr>
        <w:t xml:space="preserve">Where the provider self-manages vacation leave arrangements: </w:t>
      </w:r>
    </w:p>
    <w:p w14:paraId="0B5D62CB" w14:textId="77777777" w:rsidR="00E35230" w:rsidRPr="0040122F" w:rsidRDefault="00E35230" w:rsidP="00E35230">
      <w:pPr>
        <w:rPr>
          <w:rFonts w:cstheme="majorHAnsi"/>
        </w:rPr>
      </w:pPr>
      <w:r w:rsidRPr="0040122F">
        <w:rPr>
          <w:rFonts w:cstheme="majorHAnsi"/>
        </w:rPr>
        <w:t xml:space="preserve">Provide any documents that demonstrate how </w:t>
      </w:r>
      <w:r>
        <w:rPr>
          <w:rFonts w:cstheme="majorHAnsi"/>
        </w:rPr>
        <w:t xml:space="preserve">you, as the education provider, will comply </w:t>
      </w:r>
      <w:r w:rsidRPr="0040122F">
        <w:rPr>
          <w:rFonts w:cstheme="majorHAnsi"/>
        </w:rPr>
        <w:t xml:space="preserve">with the requirements of Standard 5 </w:t>
      </w:r>
      <w:r>
        <w:rPr>
          <w:rFonts w:cstheme="majorHAnsi"/>
        </w:rPr>
        <w:t>– these may include</w:t>
      </w:r>
    </w:p>
    <w:p w14:paraId="18A3B3D4" w14:textId="77777777" w:rsidR="00E35230" w:rsidRPr="00CE67B9" w:rsidRDefault="00E35230" w:rsidP="00E35230">
      <w:pPr>
        <w:numPr>
          <w:ilvl w:val="1"/>
          <w:numId w:val="6"/>
        </w:numPr>
        <w:spacing w:after="120"/>
        <w:jc w:val="left"/>
        <w:rPr>
          <w:rFonts w:cstheme="majorHAnsi"/>
          <w:szCs w:val="21"/>
        </w:rPr>
      </w:pPr>
      <w:r w:rsidRPr="00CE67B9">
        <w:rPr>
          <w:rFonts w:cstheme="majorHAnsi"/>
          <w:szCs w:val="21"/>
        </w:rPr>
        <w:t>information provided to parents about the vacation leave options available to overseas students</w:t>
      </w:r>
    </w:p>
    <w:p w14:paraId="5B369AB0" w14:textId="77777777" w:rsidR="00E35230" w:rsidRPr="00CE67B9" w:rsidRDefault="00E35230" w:rsidP="00E35230">
      <w:pPr>
        <w:numPr>
          <w:ilvl w:val="1"/>
          <w:numId w:val="6"/>
        </w:numPr>
        <w:spacing w:after="120"/>
        <w:jc w:val="left"/>
        <w:rPr>
          <w:rFonts w:cstheme="majorHAnsi"/>
          <w:szCs w:val="21"/>
        </w:rPr>
      </w:pPr>
      <w:r w:rsidRPr="00CE67B9">
        <w:rPr>
          <w:rFonts w:cstheme="majorHAnsi"/>
          <w:szCs w:val="21"/>
        </w:rPr>
        <w:t>information about the process to be followed to request vacation leave</w:t>
      </w:r>
    </w:p>
    <w:p w14:paraId="58D94780" w14:textId="77777777" w:rsidR="00E35230" w:rsidRPr="00CE67B9" w:rsidRDefault="00E35230" w:rsidP="00E35230">
      <w:pPr>
        <w:numPr>
          <w:ilvl w:val="1"/>
          <w:numId w:val="6"/>
        </w:numPr>
        <w:spacing w:after="120"/>
        <w:jc w:val="left"/>
        <w:rPr>
          <w:rFonts w:cstheme="majorHAnsi"/>
          <w:szCs w:val="21"/>
        </w:rPr>
      </w:pPr>
      <w:r w:rsidRPr="00CE67B9">
        <w:rPr>
          <w:rFonts w:cstheme="majorHAnsi"/>
          <w:szCs w:val="21"/>
        </w:rPr>
        <w:t>vacation request form (with capacity to record approval or refusal of the request)</w:t>
      </w:r>
    </w:p>
    <w:p w14:paraId="2298D31E" w14:textId="77777777" w:rsidR="00E35230" w:rsidRPr="00CE67B9" w:rsidRDefault="00E35230" w:rsidP="00E35230">
      <w:pPr>
        <w:numPr>
          <w:ilvl w:val="1"/>
          <w:numId w:val="6"/>
        </w:numPr>
        <w:spacing w:after="120"/>
        <w:jc w:val="left"/>
        <w:rPr>
          <w:rFonts w:cstheme="majorHAnsi"/>
          <w:szCs w:val="21"/>
        </w:rPr>
      </w:pPr>
      <w:r w:rsidRPr="00CE67B9">
        <w:rPr>
          <w:rFonts w:cstheme="majorHAnsi"/>
          <w:szCs w:val="21"/>
        </w:rPr>
        <w:t>guidance about what is required in order for a request to be approved e.g., behaviour rules, prohibited activities, criteria for selection and approval where hosts are accepted from the school or local community</w:t>
      </w:r>
    </w:p>
    <w:p w14:paraId="5BE7E2AA" w14:textId="77777777" w:rsidR="00E35230" w:rsidRPr="00552E12" w:rsidRDefault="00E35230" w:rsidP="00E35230">
      <w:pPr>
        <w:numPr>
          <w:ilvl w:val="1"/>
          <w:numId w:val="6"/>
        </w:numPr>
        <w:spacing w:after="120"/>
        <w:jc w:val="left"/>
        <w:rPr>
          <w:rFonts w:cstheme="majorHAnsi"/>
          <w:szCs w:val="21"/>
        </w:rPr>
      </w:pPr>
      <w:r w:rsidRPr="00CE67B9">
        <w:rPr>
          <w:rFonts w:cstheme="majorHAnsi"/>
          <w:szCs w:val="21"/>
        </w:rPr>
        <w:t>risk mitigation strategies including 24-hour emergency contact, serious incident management, re-location strategy</w:t>
      </w:r>
    </w:p>
    <w:p w14:paraId="69EF7982" w14:textId="77777777" w:rsidR="00E35230" w:rsidRDefault="00E35230" w:rsidP="00E35230"/>
    <w:p w14:paraId="231563B1" w14:textId="77777777" w:rsidR="00E35230" w:rsidRPr="00802A61" w:rsidRDefault="00E35230" w:rsidP="00E35230">
      <w:pPr>
        <w:rPr>
          <w:rFonts w:cstheme="majorHAnsi"/>
          <w:bCs/>
          <w:color w:val="0070C0"/>
        </w:rPr>
      </w:pPr>
      <w:r w:rsidRPr="00802A61">
        <w:rPr>
          <w:rFonts w:cstheme="majorHAnsi"/>
          <w:bCs/>
          <w:color w:val="0070C0"/>
        </w:rPr>
        <w:t>Where the provider engages a third-party homestay provider to assist with vacation leave:</w:t>
      </w:r>
    </w:p>
    <w:p w14:paraId="069E539F" w14:textId="77777777" w:rsidR="00E35230" w:rsidRPr="0040122F" w:rsidRDefault="00E35230" w:rsidP="00E35230">
      <w:pPr>
        <w:numPr>
          <w:ilvl w:val="0"/>
          <w:numId w:val="6"/>
        </w:numPr>
        <w:spacing w:after="120"/>
        <w:rPr>
          <w:rFonts w:cstheme="majorHAnsi"/>
        </w:rPr>
      </w:pPr>
      <w:r w:rsidRPr="0040122F">
        <w:rPr>
          <w:rFonts w:cstheme="majorHAnsi"/>
        </w:rPr>
        <w:t xml:space="preserve">Attach a copy of the current Memorandum of Understanding (MOU), or another contract in place between </w:t>
      </w:r>
      <w:r>
        <w:rPr>
          <w:rFonts w:cstheme="majorHAnsi"/>
        </w:rPr>
        <w:t>you, as the education provider,</w:t>
      </w:r>
      <w:r w:rsidRPr="0040122F">
        <w:rPr>
          <w:rFonts w:cstheme="majorHAnsi"/>
        </w:rPr>
        <w:t xml:space="preserve"> and</w:t>
      </w:r>
      <w:r>
        <w:rPr>
          <w:rFonts w:cstheme="majorHAnsi"/>
        </w:rPr>
        <w:t xml:space="preserve"> the</w:t>
      </w:r>
      <w:r w:rsidRPr="0040122F">
        <w:rPr>
          <w:rFonts w:cstheme="majorHAnsi"/>
        </w:rPr>
        <w:t xml:space="preserve"> third-party homestay provider.</w:t>
      </w:r>
    </w:p>
    <w:p w14:paraId="02FAB7D5" w14:textId="77777777" w:rsidR="00E35230" w:rsidRPr="0040122F" w:rsidRDefault="00E35230" w:rsidP="00E35230">
      <w:pPr>
        <w:numPr>
          <w:ilvl w:val="0"/>
          <w:numId w:val="6"/>
        </w:numPr>
        <w:spacing w:after="120"/>
        <w:rPr>
          <w:rFonts w:cstheme="majorHAnsi"/>
        </w:rPr>
      </w:pPr>
      <w:r w:rsidRPr="0040122F">
        <w:rPr>
          <w:rFonts w:cstheme="majorHAnsi"/>
        </w:rPr>
        <w:t xml:space="preserve">If not covered under the MOU or contract, provide any documents that further demonstrate how </w:t>
      </w:r>
      <w:r>
        <w:rPr>
          <w:rFonts w:cstheme="majorHAnsi"/>
        </w:rPr>
        <w:t>you will</w:t>
      </w:r>
      <w:r w:rsidRPr="0040122F">
        <w:rPr>
          <w:rFonts w:cstheme="majorHAnsi"/>
        </w:rPr>
        <w:t xml:space="preserve"> compl</w:t>
      </w:r>
      <w:r>
        <w:rPr>
          <w:rFonts w:cstheme="majorHAnsi"/>
        </w:rPr>
        <w:t>y</w:t>
      </w:r>
      <w:r w:rsidRPr="0040122F">
        <w:rPr>
          <w:rFonts w:cstheme="majorHAnsi"/>
        </w:rPr>
        <w:t xml:space="preserve"> with the requirements of Standard 5 e.g.,</w:t>
      </w:r>
    </w:p>
    <w:p w14:paraId="676B1B47" w14:textId="77777777" w:rsidR="00E35230" w:rsidRPr="0040122F" w:rsidRDefault="00E35230" w:rsidP="00E35230">
      <w:pPr>
        <w:numPr>
          <w:ilvl w:val="0"/>
          <w:numId w:val="9"/>
        </w:numPr>
        <w:spacing w:after="120"/>
        <w:rPr>
          <w:rFonts w:cstheme="majorHAnsi"/>
          <w:lang w:val="en-GB"/>
        </w:rPr>
      </w:pPr>
      <w:r w:rsidRPr="0040122F">
        <w:rPr>
          <w:rFonts w:cstheme="majorHAnsi"/>
          <w:lang w:val="en-GB"/>
        </w:rPr>
        <w:t xml:space="preserve">the responsibilities of the homestay provider, </w:t>
      </w:r>
      <w:r>
        <w:rPr>
          <w:rFonts w:cstheme="majorHAnsi"/>
          <w:lang w:val="en-GB"/>
        </w:rPr>
        <w:t>education provider</w:t>
      </w:r>
      <w:r w:rsidRPr="0040122F">
        <w:rPr>
          <w:rFonts w:cstheme="majorHAnsi"/>
          <w:lang w:val="en-GB"/>
        </w:rPr>
        <w:t xml:space="preserve"> and student</w:t>
      </w:r>
    </w:p>
    <w:p w14:paraId="130255C7" w14:textId="77777777" w:rsidR="00E35230" w:rsidRPr="0040122F" w:rsidRDefault="00E35230" w:rsidP="00E35230">
      <w:pPr>
        <w:numPr>
          <w:ilvl w:val="0"/>
          <w:numId w:val="9"/>
        </w:numPr>
        <w:spacing w:after="120"/>
        <w:rPr>
          <w:rFonts w:cstheme="majorHAnsi"/>
          <w:lang w:val="en-GB"/>
        </w:rPr>
      </w:pPr>
      <w:r w:rsidRPr="0040122F">
        <w:rPr>
          <w:rFonts w:cstheme="majorHAnsi"/>
          <w:lang w:val="en-GB"/>
        </w:rPr>
        <w:t xml:space="preserve">confirmation the </w:t>
      </w:r>
      <w:r>
        <w:rPr>
          <w:rFonts w:cstheme="majorHAnsi"/>
          <w:lang w:val="en-GB"/>
        </w:rPr>
        <w:t>education provider</w:t>
      </w:r>
      <w:r w:rsidRPr="0040122F">
        <w:rPr>
          <w:rFonts w:cstheme="majorHAnsi"/>
          <w:lang w:val="en-GB"/>
        </w:rPr>
        <w:t xml:space="preserve"> retains overall responsibility for each student’s welfare</w:t>
      </w:r>
    </w:p>
    <w:p w14:paraId="5BA17BBF" w14:textId="77777777" w:rsidR="00E35230" w:rsidRPr="0040122F" w:rsidRDefault="00E35230" w:rsidP="00E35230">
      <w:pPr>
        <w:numPr>
          <w:ilvl w:val="0"/>
          <w:numId w:val="9"/>
        </w:numPr>
        <w:spacing w:after="120"/>
        <w:rPr>
          <w:rFonts w:cstheme="majorHAnsi"/>
          <w:lang w:val="en-GB"/>
        </w:rPr>
      </w:pPr>
      <w:r w:rsidRPr="0040122F">
        <w:rPr>
          <w:rFonts w:cstheme="majorHAnsi"/>
          <w:lang w:val="en-GB"/>
        </w:rPr>
        <w:t>child protection measures in place (including the need for blue cards where household members are over 18 years)</w:t>
      </w:r>
    </w:p>
    <w:p w14:paraId="5D154107" w14:textId="77777777" w:rsidR="00E35230" w:rsidRPr="0040122F" w:rsidRDefault="00E35230" w:rsidP="00E35230">
      <w:pPr>
        <w:numPr>
          <w:ilvl w:val="0"/>
          <w:numId w:val="9"/>
        </w:numPr>
        <w:spacing w:after="120"/>
        <w:rPr>
          <w:rFonts w:cstheme="majorHAnsi"/>
          <w:lang w:val="en-GB"/>
        </w:rPr>
      </w:pPr>
      <w:r w:rsidRPr="0040122F">
        <w:rPr>
          <w:rFonts w:cstheme="majorHAnsi"/>
          <w:lang w:val="en-GB"/>
        </w:rPr>
        <w:t>support / monitoring of overseas students throughout the placement</w:t>
      </w:r>
    </w:p>
    <w:p w14:paraId="136C7FF0" w14:textId="77777777" w:rsidR="00E35230" w:rsidRPr="0040122F" w:rsidRDefault="00E35230" w:rsidP="00E35230">
      <w:pPr>
        <w:numPr>
          <w:ilvl w:val="0"/>
          <w:numId w:val="9"/>
        </w:numPr>
        <w:spacing w:after="120"/>
        <w:rPr>
          <w:rFonts w:cstheme="majorHAnsi"/>
          <w:lang w:val="en-GB"/>
        </w:rPr>
      </w:pPr>
      <w:r w:rsidRPr="0040122F">
        <w:rPr>
          <w:rFonts w:cstheme="majorHAnsi"/>
          <w:lang w:val="en-GB"/>
        </w:rPr>
        <w:t>risk mitigation strategies e.g., emergency contact, serious incident management</w:t>
      </w:r>
    </w:p>
    <w:p w14:paraId="4474DE39" w14:textId="77777777" w:rsidR="00E35230" w:rsidRPr="0040122F" w:rsidRDefault="00E35230" w:rsidP="00E35230">
      <w:pPr>
        <w:numPr>
          <w:ilvl w:val="0"/>
          <w:numId w:val="9"/>
        </w:numPr>
        <w:spacing w:after="120"/>
        <w:rPr>
          <w:rFonts w:cstheme="majorHAnsi"/>
          <w:lang w:val="en-GB"/>
        </w:rPr>
      </w:pPr>
      <w:r w:rsidRPr="0040122F">
        <w:rPr>
          <w:rFonts w:cstheme="majorHAnsi"/>
        </w:rPr>
        <w:t>the staff member who will liaise with the third-party provider during the school closure and respond to any serious incident.</w:t>
      </w:r>
    </w:p>
    <w:bookmarkEnd w:id="4"/>
    <w:p w14:paraId="49832395" w14:textId="77777777" w:rsidR="005E6A77" w:rsidRPr="00E35230" w:rsidRDefault="005E6A77" w:rsidP="009A1618">
      <w:pPr>
        <w:rPr>
          <w:rFonts w:cstheme="majorHAnsi"/>
          <w:lang w:val="en-GB"/>
        </w:rPr>
      </w:pPr>
    </w:p>
    <w:p w14:paraId="7C7FE627" w14:textId="77777777" w:rsidR="00E35230" w:rsidRDefault="00E35230">
      <w:pPr>
        <w:spacing w:before="0" w:after="160" w:line="259" w:lineRule="auto"/>
        <w:rPr>
          <w:rFonts w:cstheme="majorHAnsi"/>
          <w:b/>
          <w:bCs/>
          <w:color w:val="4472C4" w:themeColor="accent1"/>
        </w:rPr>
      </w:pPr>
      <w:r>
        <w:rPr>
          <w:rFonts w:cstheme="majorHAnsi"/>
          <w:b/>
          <w:bCs/>
          <w:color w:val="4472C4" w:themeColor="accent1"/>
        </w:rPr>
        <w:br w:type="page"/>
      </w:r>
    </w:p>
    <w:p w14:paraId="77056DB7" w14:textId="77777777" w:rsidR="00D01157" w:rsidRPr="005350D0" w:rsidRDefault="00D01157" w:rsidP="00D01157">
      <w:pPr>
        <w:rPr>
          <w:color w:val="0070C0"/>
          <w:sz w:val="24"/>
          <w:szCs w:val="24"/>
        </w:rPr>
      </w:pPr>
      <w:r w:rsidRPr="005350D0">
        <w:rPr>
          <w:color w:val="0070C0"/>
          <w:sz w:val="24"/>
          <w:szCs w:val="24"/>
        </w:rPr>
        <w:lastRenderedPageBreak/>
        <w:t>Submission requirements</w:t>
      </w:r>
    </w:p>
    <w:p w14:paraId="264F0B3B" w14:textId="77777777" w:rsidR="00D01157" w:rsidRPr="002C1042" w:rsidRDefault="00D01157" w:rsidP="00D01157">
      <w:r w:rsidRPr="002C1042">
        <w:t xml:space="preserve">All applications must be submitted electronically; hard copies of documents will not be accepted.  </w:t>
      </w:r>
    </w:p>
    <w:p w14:paraId="416E92C0" w14:textId="77777777" w:rsidR="00D01157" w:rsidRPr="002C1042" w:rsidRDefault="00D01157" w:rsidP="00D01157">
      <w:r w:rsidRPr="002C1042">
        <w:t>The completed form, and all documents, should be forwarded to the International Quality (Schools) Unit via email at:</w:t>
      </w:r>
    </w:p>
    <w:p w14:paraId="4A00B20E" w14:textId="77777777" w:rsidR="00D01157" w:rsidRPr="002C1042" w:rsidRDefault="00D01157" w:rsidP="00D01157">
      <w:pPr>
        <w:rPr>
          <w:rStyle w:val="Hyperlink"/>
          <w:rFonts w:cstheme="majorHAnsi"/>
          <w:szCs w:val="21"/>
        </w:rPr>
      </w:pPr>
      <w:r w:rsidRPr="002C1042">
        <w:tab/>
      </w:r>
      <w:r w:rsidRPr="002C1042">
        <w:tab/>
      </w:r>
      <w:hyperlink r:id="rId9" w:history="1">
        <w:r w:rsidRPr="002C1042">
          <w:rPr>
            <w:rStyle w:val="Hyperlink"/>
            <w:rFonts w:cstheme="majorHAnsi"/>
            <w:szCs w:val="21"/>
          </w:rPr>
          <w:t>InternationalRegistration@qed.qld.gov.au</w:t>
        </w:r>
      </w:hyperlink>
    </w:p>
    <w:p w14:paraId="17BBA8EB" w14:textId="77777777" w:rsidR="00D01157" w:rsidRPr="002C1042" w:rsidRDefault="00D01157" w:rsidP="00D01157">
      <w:r w:rsidRPr="002C1042">
        <w:t xml:space="preserve">We advise there is a size limit on this inbox. You may wish to zip files before emailing or alternatively email documents across a number of individual emails.  </w:t>
      </w:r>
    </w:p>
    <w:p w14:paraId="154BED15" w14:textId="77777777" w:rsidR="00D01157" w:rsidRPr="0004199E" w:rsidRDefault="00D01157" w:rsidP="00D01157">
      <w:pPr>
        <w:spacing w:after="120"/>
        <w:rPr>
          <w:bCs/>
          <w:i/>
          <w:iCs/>
          <w:color w:val="0070C0"/>
          <w:sz w:val="18"/>
          <w:szCs w:val="18"/>
        </w:rPr>
      </w:pPr>
      <w:bookmarkStart w:id="6" w:name="_Hlk106620974"/>
      <w:r w:rsidRPr="0004199E">
        <w:rPr>
          <w:bCs/>
          <w:i/>
          <w:iCs/>
          <w:color w:val="0070C0"/>
          <w:sz w:val="18"/>
          <w:szCs w:val="18"/>
        </w:rPr>
        <w:t>Important:</w:t>
      </w:r>
    </w:p>
    <w:p w14:paraId="1CD2EA77" w14:textId="77777777" w:rsidR="00D01157" w:rsidRPr="0004199E" w:rsidRDefault="00D01157" w:rsidP="00D01157">
      <w:pPr>
        <w:spacing w:after="120"/>
        <w:rPr>
          <w:sz w:val="18"/>
          <w:szCs w:val="18"/>
        </w:rPr>
      </w:pPr>
      <w:r w:rsidRPr="0004199E">
        <w:rPr>
          <w:sz w:val="18"/>
          <w:szCs w:val="18"/>
        </w:rPr>
        <w:t xml:space="preserve">Document transfer applications such as </w:t>
      </w:r>
      <w:proofErr w:type="spellStart"/>
      <w:r w:rsidRPr="0004199E">
        <w:rPr>
          <w:sz w:val="18"/>
          <w:szCs w:val="18"/>
        </w:rPr>
        <w:t>DropBox</w:t>
      </w:r>
      <w:proofErr w:type="spellEnd"/>
      <w:r w:rsidRPr="0004199E">
        <w:rPr>
          <w:sz w:val="18"/>
          <w:szCs w:val="18"/>
        </w:rPr>
        <w:t>, WeTransfer or Google-drive are not supported by the Department of Education’s IT systems.</w:t>
      </w:r>
    </w:p>
    <w:p w14:paraId="627994AB" w14:textId="77777777" w:rsidR="00D01157" w:rsidRPr="0004199E" w:rsidRDefault="00D01157" w:rsidP="00D01157">
      <w:pPr>
        <w:spacing w:after="120"/>
        <w:rPr>
          <w:sz w:val="18"/>
          <w:szCs w:val="18"/>
        </w:rPr>
      </w:pPr>
      <w:r w:rsidRPr="0004199E">
        <w:rPr>
          <w:sz w:val="18"/>
          <w:szCs w:val="18"/>
        </w:rPr>
        <w:t>SharePoint is supported by the Department’s IT systems and is an effective mechanism to transfer files.</w:t>
      </w:r>
      <w:bookmarkEnd w:id="6"/>
    </w:p>
    <w:tbl>
      <w:tblPr>
        <w:tblStyle w:val="TableGrid"/>
        <w:tblW w:w="0" w:type="auto"/>
        <w:tblLook w:val="04A0" w:firstRow="1" w:lastRow="0" w:firstColumn="1" w:lastColumn="0" w:noHBand="0" w:noVBand="1"/>
      </w:tblPr>
      <w:tblGrid>
        <w:gridCol w:w="9016"/>
      </w:tblGrid>
      <w:tr w:rsidR="00D01157" w:rsidRPr="00D01157" w14:paraId="64FF3549" w14:textId="77777777" w:rsidTr="0055217F">
        <w:tc>
          <w:tcPr>
            <w:tcW w:w="9016" w:type="dxa"/>
          </w:tcPr>
          <w:p w14:paraId="6D496239" w14:textId="77777777" w:rsidR="00D01157" w:rsidRPr="00D01157" w:rsidRDefault="00D01157" w:rsidP="0055217F">
            <w:pPr>
              <w:pStyle w:val="Heading2"/>
              <w:outlineLvl w:val="1"/>
              <w:rPr>
                <w:rFonts w:cstheme="majorHAnsi"/>
                <w:color w:val="0070C0"/>
                <w:sz w:val="18"/>
                <w:szCs w:val="18"/>
              </w:rPr>
            </w:pPr>
            <w:bookmarkStart w:id="7" w:name="_Hlk157069437"/>
            <w:r w:rsidRPr="00D01157">
              <w:rPr>
                <w:rFonts w:cstheme="majorHAnsi"/>
                <w:color w:val="0070C0"/>
                <w:sz w:val="18"/>
                <w:szCs w:val="18"/>
              </w:rPr>
              <w:t>Privacy notice:</w:t>
            </w:r>
          </w:p>
          <w:p w14:paraId="334A1972" w14:textId="77777777" w:rsidR="00D01157" w:rsidRPr="00D01157" w:rsidRDefault="00D01157"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The International Quality (Schools) Unit collects ‘personal information’ within the meaning of the Queensland Government Information Privacy Act 2009, which deals with the collection and handling of such information by government agencies.</w:t>
            </w:r>
          </w:p>
          <w:p w14:paraId="3CBF0441" w14:textId="114A5E71" w:rsidR="00D01157" w:rsidRPr="00D01157" w:rsidRDefault="00D01157"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 xml:space="preserve">Information collected on this form is in accordance with the Commonwealth’s Education Services for Overseas Students (ESOS) Act 2000 and the Education (Overseas Students) Act 2018 (Qld) to assess your application </w:t>
            </w:r>
            <w:r w:rsidR="00B80A85">
              <w:rPr>
                <w:rFonts w:asciiTheme="majorHAnsi" w:hAnsiTheme="majorHAnsi" w:cstheme="majorHAnsi"/>
                <w:i/>
                <w:sz w:val="18"/>
                <w:szCs w:val="18"/>
              </w:rPr>
              <w:t>to vary your</w:t>
            </w:r>
            <w:r w:rsidRPr="00D01157">
              <w:rPr>
                <w:rFonts w:asciiTheme="majorHAnsi" w:hAnsiTheme="majorHAnsi" w:cstheme="majorHAnsi"/>
                <w:i/>
                <w:sz w:val="18"/>
                <w:szCs w:val="18"/>
              </w:rPr>
              <w:t xml:space="preserve"> state approval and registration on the Commonwealth Register of Institutions and Courses for Overseas Students (CRICOS).  The department will provide registration information to the Australian Government’s Department of Education (DoE) for publication on the national register.</w:t>
            </w:r>
          </w:p>
          <w:p w14:paraId="0713034A" w14:textId="77777777" w:rsidR="00D01157" w:rsidRPr="00D01157" w:rsidRDefault="00D01157"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Personal information is collected and used to:</w:t>
            </w:r>
          </w:p>
          <w:p w14:paraId="7F71E0E8" w14:textId="77777777" w:rsidR="00D01157" w:rsidRPr="00D01157" w:rsidRDefault="00D01157" w:rsidP="00D01157">
            <w:pPr>
              <w:pStyle w:val="BlockText"/>
              <w:numPr>
                <w:ilvl w:val="0"/>
                <w:numId w:val="12"/>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process applications</w:t>
            </w:r>
          </w:p>
          <w:p w14:paraId="4ECE18DE" w14:textId="77777777" w:rsidR="00D01157" w:rsidRPr="00D01157" w:rsidRDefault="00D01157" w:rsidP="00D01157">
            <w:pPr>
              <w:pStyle w:val="BlockText"/>
              <w:numPr>
                <w:ilvl w:val="0"/>
                <w:numId w:val="12"/>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ask further questions or request further information</w:t>
            </w:r>
          </w:p>
          <w:p w14:paraId="539CEEC3" w14:textId="77777777" w:rsidR="00D01157" w:rsidRPr="00D01157" w:rsidRDefault="00D01157" w:rsidP="00D01157">
            <w:pPr>
              <w:pStyle w:val="BlockText"/>
              <w:numPr>
                <w:ilvl w:val="0"/>
                <w:numId w:val="12"/>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enable the International Quality (Schools) Unit to make decisions under the Education (Overseas Students) Act 2018 (Qld) and Education Services for Overseas Students Act 2000 (</w:t>
            </w:r>
            <w:proofErr w:type="spellStart"/>
            <w:r w:rsidRPr="00D01157">
              <w:rPr>
                <w:rFonts w:asciiTheme="majorHAnsi" w:hAnsiTheme="majorHAnsi" w:cstheme="majorHAnsi"/>
                <w:i/>
                <w:sz w:val="18"/>
                <w:szCs w:val="18"/>
              </w:rPr>
              <w:t>C’wlth</w:t>
            </w:r>
            <w:proofErr w:type="spellEnd"/>
            <w:r w:rsidRPr="00D01157">
              <w:rPr>
                <w:rFonts w:asciiTheme="majorHAnsi" w:hAnsiTheme="majorHAnsi" w:cstheme="majorHAnsi"/>
                <w:i/>
                <w:sz w:val="18"/>
                <w:szCs w:val="18"/>
              </w:rPr>
              <w:t>)</w:t>
            </w:r>
          </w:p>
          <w:p w14:paraId="4680A12E" w14:textId="77777777" w:rsidR="00D01157" w:rsidRPr="00D01157" w:rsidRDefault="00D01157"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The type of personal information collected may include:</w:t>
            </w:r>
          </w:p>
          <w:p w14:paraId="4FB44298" w14:textId="77777777" w:rsidR="00D01157" w:rsidRPr="00D01157" w:rsidRDefault="00D01157" w:rsidP="00D01157">
            <w:pPr>
              <w:pStyle w:val="BlockText"/>
              <w:numPr>
                <w:ilvl w:val="0"/>
                <w:numId w:val="13"/>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personal details, including name, postal address, phone number, email</w:t>
            </w:r>
          </w:p>
          <w:p w14:paraId="516B95BD" w14:textId="77777777" w:rsidR="00D01157" w:rsidRPr="00D01157" w:rsidRDefault="00D01157" w:rsidP="00D01157">
            <w:pPr>
              <w:pStyle w:val="BlockText"/>
              <w:numPr>
                <w:ilvl w:val="0"/>
                <w:numId w:val="13"/>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enquiries or complaints</w:t>
            </w:r>
          </w:p>
          <w:p w14:paraId="275C494E" w14:textId="77777777" w:rsidR="00D01157" w:rsidRPr="00D01157" w:rsidRDefault="00D01157"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Personal information may be disclosed to third party entities if applicable.  Examples of these entities are:</w:t>
            </w:r>
          </w:p>
          <w:p w14:paraId="1A75006B" w14:textId="77777777" w:rsidR="00D01157" w:rsidRPr="00D01157" w:rsidRDefault="00D01157" w:rsidP="00D01157">
            <w:pPr>
              <w:pStyle w:val="BlockText"/>
              <w:numPr>
                <w:ilvl w:val="0"/>
                <w:numId w:val="14"/>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The Queensland Minister for Education</w:t>
            </w:r>
          </w:p>
          <w:p w14:paraId="159DBC80" w14:textId="77777777" w:rsidR="00D01157" w:rsidRPr="00D01157" w:rsidRDefault="00D01157" w:rsidP="00D01157">
            <w:pPr>
              <w:pStyle w:val="BlockText"/>
              <w:numPr>
                <w:ilvl w:val="0"/>
                <w:numId w:val="14"/>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The Director-General (or delegate) and other relevant areas within the Queensland Department of Education</w:t>
            </w:r>
          </w:p>
          <w:p w14:paraId="5F5533BE" w14:textId="77777777" w:rsidR="00D01157" w:rsidRPr="00D01157" w:rsidRDefault="00D01157" w:rsidP="00D01157">
            <w:pPr>
              <w:pStyle w:val="BlockText"/>
              <w:numPr>
                <w:ilvl w:val="0"/>
                <w:numId w:val="14"/>
              </w:numPr>
              <w:spacing w:after="120" w:line="240" w:lineRule="auto"/>
              <w:ind w:left="714" w:hanging="357"/>
              <w:rPr>
                <w:rFonts w:asciiTheme="majorHAnsi" w:hAnsiTheme="majorHAnsi" w:cstheme="majorHAnsi"/>
                <w:i/>
                <w:sz w:val="18"/>
                <w:szCs w:val="18"/>
              </w:rPr>
            </w:pPr>
            <w:r w:rsidRPr="00D01157">
              <w:rPr>
                <w:rFonts w:asciiTheme="majorHAnsi" w:hAnsiTheme="majorHAnsi" w:cstheme="majorHAnsi"/>
                <w:i/>
                <w:sz w:val="18"/>
                <w:szCs w:val="18"/>
              </w:rPr>
              <w:t>The Australian Government’s Department of Education (DoE)</w:t>
            </w:r>
          </w:p>
          <w:p w14:paraId="62AEF788" w14:textId="77777777" w:rsidR="00D01157" w:rsidRPr="00D01157" w:rsidRDefault="00D01157" w:rsidP="00D01157">
            <w:pPr>
              <w:pStyle w:val="BlockText"/>
              <w:numPr>
                <w:ilvl w:val="0"/>
                <w:numId w:val="14"/>
              </w:numPr>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International Quality (Schools) Unit staff administering and processing CRICOS applications and registration amendments</w:t>
            </w:r>
          </w:p>
          <w:p w14:paraId="6D5B11BE" w14:textId="77777777" w:rsidR="00D01157" w:rsidRPr="00D01157" w:rsidRDefault="00D01157" w:rsidP="0055217F">
            <w:pPr>
              <w:pStyle w:val="BlockText"/>
              <w:spacing w:after="120" w:line="240" w:lineRule="auto"/>
              <w:rPr>
                <w:rFonts w:asciiTheme="majorHAnsi" w:hAnsiTheme="majorHAnsi" w:cstheme="majorHAnsi"/>
                <w:i/>
                <w:sz w:val="18"/>
                <w:szCs w:val="18"/>
              </w:rPr>
            </w:pPr>
            <w:r w:rsidRPr="00D01157">
              <w:rPr>
                <w:rFonts w:asciiTheme="majorHAnsi" w:hAnsiTheme="majorHAnsi" w:cstheme="majorHAnsi"/>
                <w:i/>
                <w:sz w:val="18"/>
                <w:szCs w:val="18"/>
              </w:rPr>
              <w:t>Certain information collected may also be published under the Open Data (</w:t>
            </w:r>
            <w:hyperlink r:id="rId10" w:history="1">
              <w:r w:rsidRPr="00D01157">
                <w:rPr>
                  <w:rStyle w:val="Hyperlink"/>
                  <w:rFonts w:asciiTheme="majorHAnsi" w:hAnsiTheme="majorHAnsi" w:cstheme="majorHAnsi"/>
                  <w:i/>
                  <w:sz w:val="18"/>
                  <w:szCs w:val="18"/>
                </w:rPr>
                <w:t>data.qld.gov.au</w:t>
              </w:r>
            </w:hyperlink>
            <w:r w:rsidRPr="00D01157">
              <w:rPr>
                <w:rFonts w:asciiTheme="majorHAnsi" w:hAnsiTheme="majorHAnsi" w:cstheme="majorHAnsi"/>
                <w:i/>
                <w:sz w:val="18"/>
                <w:szCs w:val="18"/>
              </w:rPr>
              <w:t>) if suitable for release.</w:t>
            </w:r>
          </w:p>
          <w:p w14:paraId="59C49118" w14:textId="77777777" w:rsidR="00D01157" w:rsidRPr="00D01157" w:rsidRDefault="00D01157" w:rsidP="0055217F">
            <w:pPr>
              <w:rPr>
                <w:rFonts w:cstheme="majorHAnsi"/>
                <w:sz w:val="18"/>
                <w:szCs w:val="18"/>
              </w:rPr>
            </w:pPr>
            <w:r w:rsidRPr="00D01157">
              <w:rPr>
                <w:rFonts w:cstheme="majorHAnsi"/>
                <w:i/>
                <w:sz w:val="18"/>
                <w:szCs w:val="18"/>
              </w:rPr>
              <w:t xml:space="preserve">In other instances, information collected can be disclosed without further consent where authorised or required by law. </w:t>
            </w:r>
          </w:p>
        </w:tc>
      </w:tr>
      <w:bookmarkEnd w:id="7"/>
    </w:tbl>
    <w:p w14:paraId="66402006" w14:textId="77777777" w:rsidR="009A1618" w:rsidRPr="00913ABB" w:rsidRDefault="009A1618" w:rsidP="00D01157">
      <w:pPr>
        <w:rPr>
          <w:rFonts w:cstheme="majorHAnsi"/>
        </w:rPr>
      </w:pPr>
    </w:p>
    <w:sectPr w:rsidR="009A1618" w:rsidRPr="00913AB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5CFA" w14:textId="77777777" w:rsidR="00E23C79" w:rsidRDefault="00E23C79" w:rsidP="00E23C79">
      <w:pPr>
        <w:spacing w:before="0" w:after="0"/>
      </w:pPr>
      <w:r>
        <w:separator/>
      </w:r>
    </w:p>
  </w:endnote>
  <w:endnote w:type="continuationSeparator" w:id="0">
    <w:p w14:paraId="621A59F6" w14:textId="77777777" w:rsidR="00E23C79" w:rsidRDefault="00E23C79" w:rsidP="00E23C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DE8C" w14:textId="142DA394" w:rsidR="00E35230" w:rsidRPr="00B614C6" w:rsidRDefault="00E35230" w:rsidP="00E35230">
    <w:pPr>
      <w:pStyle w:val="Footer"/>
      <w:ind w:right="360"/>
      <w:rPr>
        <w:i/>
        <w:iCs/>
        <w:sz w:val="18"/>
        <w:szCs w:val="18"/>
      </w:rPr>
    </w:pPr>
    <w:r w:rsidRPr="00B614C6">
      <w:rPr>
        <w:i/>
        <w:iCs/>
        <w:sz w:val="18"/>
        <w:szCs w:val="18"/>
      </w:rPr>
      <w:t xml:space="preserve">International Quality </w:t>
    </w:r>
    <w:r w:rsidR="0080377B">
      <w:rPr>
        <w:i/>
        <w:iCs/>
        <w:sz w:val="18"/>
        <w:szCs w:val="18"/>
      </w:rPr>
      <w:t>(</w:t>
    </w:r>
    <w:r w:rsidRPr="00B614C6">
      <w:rPr>
        <w:i/>
        <w:iCs/>
        <w:sz w:val="18"/>
        <w:szCs w:val="18"/>
      </w:rPr>
      <w:t>Schools</w:t>
    </w:r>
    <w:r w:rsidR="0080377B">
      <w:rPr>
        <w:i/>
        <w:iCs/>
        <w:sz w:val="18"/>
        <w:szCs w:val="18"/>
      </w:rPr>
      <w:t>) Unit</w:t>
    </w:r>
    <w:r w:rsidRPr="00B614C6">
      <w:rPr>
        <w:i/>
        <w:iCs/>
        <w:sz w:val="18"/>
        <w:szCs w:val="18"/>
      </w:rPr>
      <w:t>, Registration Services (January 2024)</w:t>
    </w:r>
    <w:r w:rsidRPr="00B614C6">
      <w:rPr>
        <w:i/>
        <w:iCs/>
        <w:sz w:val="18"/>
        <w:szCs w:val="18"/>
      </w:rPr>
      <w:tab/>
    </w:r>
    <w:sdt>
      <w:sdtPr>
        <w:rPr>
          <w:i/>
          <w:iCs/>
          <w:sz w:val="18"/>
          <w:szCs w:val="18"/>
        </w:rPr>
        <w:id w:val="1426380278"/>
        <w:docPartObj>
          <w:docPartGallery w:val="Page Numbers (Bottom of Page)"/>
          <w:docPartUnique/>
        </w:docPartObj>
      </w:sdtPr>
      <w:sdtContent>
        <w:sdt>
          <w:sdtPr>
            <w:rPr>
              <w:i/>
              <w:iCs/>
              <w:sz w:val="18"/>
              <w:szCs w:val="18"/>
            </w:rPr>
            <w:id w:val="-1249806135"/>
            <w:docPartObj>
              <w:docPartGallery w:val="Page Numbers (Top of Page)"/>
              <w:docPartUnique/>
            </w:docPartObj>
          </w:sdtPr>
          <w:sdtContent>
            <w:r w:rsidRPr="00B614C6">
              <w:rPr>
                <w:i/>
                <w:iCs/>
                <w:sz w:val="18"/>
                <w:szCs w:val="18"/>
              </w:rPr>
              <w:t xml:space="preserve">Page </w:t>
            </w:r>
            <w:r w:rsidRPr="00B614C6">
              <w:rPr>
                <w:b/>
                <w:bCs/>
                <w:i/>
                <w:iCs/>
                <w:sz w:val="18"/>
                <w:szCs w:val="18"/>
              </w:rPr>
              <w:fldChar w:fldCharType="begin"/>
            </w:r>
            <w:r w:rsidRPr="00B614C6">
              <w:rPr>
                <w:b/>
                <w:bCs/>
                <w:i/>
                <w:iCs/>
                <w:sz w:val="18"/>
                <w:szCs w:val="18"/>
              </w:rPr>
              <w:instrText xml:space="preserve"> PAGE </w:instrText>
            </w:r>
            <w:r w:rsidRPr="00B614C6">
              <w:rPr>
                <w:b/>
                <w:bCs/>
                <w:i/>
                <w:iCs/>
                <w:sz w:val="18"/>
                <w:szCs w:val="18"/>
              </w:rPr>
              <w:fldChar w:fldCharType="separate"/>
            </w:r>
            <w:r>
              <w:rPr>
                <w:b/>
                <w:bCs/>
                <w:i/>
                <w:iCs/>
                <w:sz w:val="18"/>
                <w:szCs w:val="18"/>
              </w:rPr>
              <w:t>1</w:t>
            </w:r>
            <w:r w:rsidRPr="00B614C6">
              <w:rPr>
                <w:b/>
                <w:bCs/>
                <w:i/>
                <w:iCs/>
                <w:sz w:val="18"/>
                <w:szCs w:val="18"/>
              </w:rPr>
              <w:fldChar w:fldCharType="end"/>
            </w:r>
            <w:r w:rsidRPr="00B614C6">
              <w:rPr>
                <w:i/>
                <w:iCs/>
                <w:sz w:val="18"/>
                <w:szCs w:val="18"/>
              </w:rPr>
              <w:t xml:space="preserve"> of </w:t>
            </w:r>
            <w:r w:rsidRPr="00B614C6">
              <w:rPr>
                <w:b/>
                <w:bCs/>
                <w:i/>
                <w:iCs/>
                <w:sz w:val="18"/>
                <w:szCs w:val="18"/>
              </w:rPr>
              <w:fldChar w:fldCharType="begin"/>
            </w:r>
            <w:r w:rsidRPr="00B614C6">
              <w:rPr>
                <w:b/>
                <w:bCs/>
                <w:i/>
                <w:iCs/>
                <w:sz w:val="18"/>
                <w:szCs w:val="18"/>
              </w:rPr>
              <w:instrText xml:space="preserve"> NUMPAGES  </w:instrText>
            </w:r>
            <w:r w:rsidRPr="00B614C6">
              <w:rPr>
                <w:b/>
                <w:bCs/>
                <w:i/>
                <w:iCs/>
                <w:sz w:val="18"/>
                <w:szCs w:val="18"/>
              </w:rPr>
              <w:fldChar w:fldCharType="separate"/>
            </w:r>
            <w:r>
              <w:rPr>
                <w:b/>
                <w:bCs/>
                <w:i/>
                <w:iCs/>
                <w:sz w:val="18"/>
                <w:szCs w:val="18"/>
              </w:rPr>
              <w:t>18</w:t>
            </w:r>
            <w:r w:rsidRPr="00B614C6">
              <w:rPr>
                <w:b/>
                <w:bCs/>
                <w:i/>
                <w:i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76F8" w14:textId="77777777" w:rsidR="00E23C79" w:rsidRDefault="00E23C79" w:rsidP="00E23C79">
      <w:pPr>
        <w:spacing w:before="0" w:after="0"/>
      </w:pPr>
      <w:r>
        <w:separator/>
      </w:r>
    </w:p>
  </w:footnote>
  <w:footnote w:type="continuationSeparator" w:id="0">
    <w:p w14:paraId="1D0320D9" w14:textId="77777777" w:rsidR="00E23C79" w:rsidRDefault="00E23C79" w:rsidP="00E23C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56E"/>
    <w:multiLevelType w:val="hybridMultilevel"/>
    <w:tmpl w:val="ACEED10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74303"/>
    <w:multiLevelType w:val="hybridMultilevel"/>
    <w:tmpl w:val="274A8504"/>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A5EA7"/>
    <w:multiLevelType w:val="hybridMultilevel"/>
    <w:tmpl w:val="CE227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727A28"/>
    <w:multiLevelType w:val="hybridMultilevel"/>
    <w:tmpl w:val="3CBA258E"/>
    <w:lvl w:ilvl="0" w:tplc="643A6850">
      <w:numFmt w:val="bullet"/>
      <w:lvlText w:val="-"/>
      <w:lvlJc w:val="left"/>
      <w:pPr>
        <w:ind w:left="1004" w:hanging="360"/>
      </w:pPr>
      <w:rPr>
        <w:rFonts w:ascii="Calibri" w:eastAsiaTheme="minorEastAsia" w:hAnsi="Calibri" w:cs="Calibri"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4" w15:restartNumberingAfterBreak="0">
    <w:nsid w:val="1A7B04D0"/>
    <w:multiLevelType w:val="hybridMultilevel"/>
    <w:tmpl w:val="A55A08D6"/>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7454A9"/>
    <w:multiLevelType w:val="hybridMultilevel"/>
    <w:tmpl w:val="35F8CC9A"/>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C446A0"/>
    <w:multiLevelType w:val="hybridMultilevel"/>
    <w:tmpl w:val="4D38C0C0"/>
    <w:lvl w:ilvl="0" w:tplc="0C090001">
      <w:start w:val="1"/>
      <w:numFmt w:val="bullet"/>
      <w:lvlText w:val=""/>
      <w:lvlJc w:val="left"/>
      <w:pPr>
        <w:ind w:left="720" w:hanging="360"/>
      </w:pPr>
      <w:rPr>
        <w:rFonts w:ascii="Symbol" w:hAnsi="Symbol" w:hint="default"/>
      </w:rPr>
    </w:lvl>
    <w:lvl w:ilvl="1" w:tplc="E024703A">
      <w:start w:val="10"/>
      <w:numFmt w:val="bullet"/>
      <w:lvlText w:val="-"/>
      <w:lvlJc w:val="left"/>
      <w:pPr>
        <w:ind w:left="1146" w:hanging="360"/>
      </w:pPr>
      <w:rPr>
        <w:rFonts w:ascii="Calibri" w:eastAsia="Times New Roman" w:hAnsi="Calibri" w:cs="Calibri" w:hint="default"/>
        <w:b w:val="0"/>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7" w15:restartNumberingAfterBreak="0">
    <w:nsid w:val="3C967C02"/>
    <w:multiLevelType w:val="hybridMultilevel"/>
    <w:tmpl w:val="83F48E84"/>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0461AD"/>
    <w:multiLevelType w:val="hybridMultilevel"/>
    <w:tmpl w:val="0636B7C8"/>
    <w:lvl w:ilvl="0" w:tplc="44BC61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BF71F1"/>
    <w:multiLevelType w:val="hybridMultilevel"/>
    <w:tmpl w:val="EA069A80"/>
    <w:lvl w:ilvl="0" w:tplc="B0507160">
      <w:start w:val="1"/>
      <w:numFmt w:val="lowerLetter"/>
      <w:lvlText w:val="%1)"/>
      <w:lvlJc w:val="left"/>
      <w:pPr>
        <w:ind w:left="360" w:hanging="360"/>
      </w:pPr>
      <w:rPr>
        <w:rFonts w:hint="default"/>
        <w:i/>
        <w:iCs/>
        <w:color w:val="0070C0"/>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B39668E"/>
    <w:multiLevelType w:val="hybridMultilevel"/>
    <w:tmpl w:val="4780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AB4F3E"/>
    <w:multiLevelType w:val="hybridMultilevel"/>
    <w:tmpl w:val="8BA0197C"/>
    <w:lvl w:ilvl="0" w:tplc="0C090001">
      <w:start w:val="1"/>
      <w:numFmt w:val="bullet"/>
      <w:lvlText w:val=""/>
      <w:lvlJc w:val="left"/>
      <w:pPr>
        <w:ind w:left="360" w:hanging="360"/>
      </w:pPr>
      <w:rPr>
        <w:rFonts w:ascii="Symbol" w:hAnsi="Symbol" w:hint="default"/>
      </w:rPr>
    </w:lvl>
    <w:lvl w:ilvl="1" w:tplc="E024703A">
      <w:start w:val="10"/>
      <w:numFmt w:val="bullet"/>
      <w:lvlText w:val="-"/>
      <w:lvlJc w:val="left"/>
      <w:pPr>
        <w:ind w:left="786" w:hanging="360"/>
      </w:pPr>
      <w:rPr>
        <w:rFonts w:ascii="Calibri" w:eastAsia="Times New Roman" w:hAnsi="Calibri" w:cs="Calibri" w:hint="default"/>
        <w:b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0A40DF4"/>
    <w:multiLevelType w:val="hybridMultilevel"/>
    <w:tmpl w:val="F4DC37D4"/>
    <w:lvl w:ilvl="0" w:tplc="0C090001">
      <w:start w:val="1"/>
      <w:numFmt w:val="bullet"/>
      <w:lvlText w:val=""/>
      <w:lvlJc w:val="left"/>
      <w:pPr>
        <w:ind w:left="360" w:hanging="360"/>
      </w:pPr>
      <w:rPr>
        <w:rFonts w:ascii="Symbol" w:hAnsi="Symbol" w:hint="default"/>
      </w:rPr>
    </w:lvl>
    <w:lvl w:ilvl="1" w:tplc="44BC616E">
      <w:start w:val="1"/>
      <w:numFmt w:val="bullet"/>
      <w:lvlText w:val=""/>
      <w:lvlJc w:val="left"/>
      <w:pPr>
        <w:ind w:left="786" w:hanging="360"/>
      </w:pPr>
      <w:rPr>
        <w:rFonts w:ascii="Symbol" w:hAnsi="Symbol" w:hint="default"/>
        <w:b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A6A13CE"/>
    <w:multiLevelType w:val="hybridMultilevel"/>
    <w:tmpl w:val="EDD2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8"/>
  </w:num>
  <w:num w:numId="5">
    <w:abstractNumId w:val="5"/>
  </w:num>
  <w:num w:numId="6">
    <w:abstractNumId w:val="11"/>
  </w:num>
  <w:num w:numId="7">
    <w:abstractNumId w:val="12"/>
  </w:num>
  <w:num w:numId="8">
    <w:abstractNumId w:val="0"/>
  </w:num>
  <w:num w:numId="9">
    <w:abstractNumId w:val="3"/>
  </w:num>
  <w:num w:numId="10">
    <w:abstractNumId w:val="9"/>
  </w:num>
  <w:num w:numId="11">
    <w:abstractNumId w:val="6"/>
  </w:num>
  <w:num w:numId="12">
    <w:abstractNumId w:val="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54"/>
    <w:rsid w:val="00237656"/>
    <w:rsid w:val="00580BCD"/>
    <w:rsid w:val="005E6A77"/>
    <w:rsid w:val="0080377B"/>
    <w:rsid w:val="00913ABB"/>
    <w:rsid w:val="009A1618"/>
    <w:rsid w:val="009C3F8D"/>
    <w:rsid w:val="009F4A27"/>
    <w:rsid w:val="00B80A85"/>
    <w:rsid w:val="00BB5F54"/>
    <w:rsid w:val="00CE1A06"/>
    <w:rsid w:val="00D00085"/>
    <w:rsid w:val="00D01157"/>
    <w:rsid w:val="00DA4E26"/>
    <w:rsid w:val="00E23C79"/>
    <w:rsid w:val="00E35230"/>
    <w:rsid w:val="00FC256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CDF734"/>
  <w15:chartTrackingRefBased/>
  <w15:docId w15:val="{2081666E-8646-4C76-86CA-6EC9DB70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DengXian"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30"/>
    <w:pPr>
      <w:spacing w:before="120" w:after="240" w:line="240" w:lineRule="auto"/>
      <w:jc w:val="both"/>
    </w:pPr>
    <w:rPr>
      <w:rFonts w:asciiTheme="majorHAnsi" w:hAnsiTheme="majorHAnsi" w:cs="Calibri"/>
      <w:sz w:val="21"/>
      <w:lang w:eastAsia="ja-JP"/>
    </w:rPr>
  </w:style>
  <w:style w:type="paragraph" w:styleId="Heading1">
    <w:name w:val="heading 1"/>
    <w:basedOn w:val="Normal"/>
    <w:next w:val="Normal"/>
    <w:link w:val="Heading1Char"/>
    <w:uiPriority w:val="9"/>
    <w:qFormat/>
    <w:rsid w:val="00580BCD"/>
    <w:pPr>
      <w:keepNext/>
      <w:keepLines/>
      <w:outlineLvl w:val="0"/>
    </w:pPr>
    <w:rPr>
      <w:rFonts w:eastAsiaTheme="majorEastAsia" w:cstheme="majorBidi"/>
      <w:color w:val="0070C0"/>
      <w:sz w:val="32"/>
      <w:szCs w:val="32"/>
    </w:rPr>
  </w:style>
  <w:style w:type="paragraph" w:styleId="Heading2">
    <w:name w:val="heading 2"/>
    <w:basedOn w:val="Normal"/>
    <w:next w:val="Normal"/>
    <w:link w:val="Heading2Char"/>
    <w:uiPriority w:val="9"/>
    <w:semiHidden/>
    <w:unhideWhenUsed/>
    <w:qFormat/>
    <w:rsid w:val="00BB5F54"/>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CD"/>
    <w:rPr>
      <w:rFonts w:eastAsiaTheme="majorEastAsia" w:cstheme="majorBidi"/>
      <w:color w:val="0070C0"/>
      <w:sz w:val="32"/>
      <w:szCs w:val="32"/>
    </w:rPr>
  </w:style>
  <w:style w:type="paragraph" w:customStyle="1" w:styleId="Answers">
    <w:name w:val="Answers"/>
    <w:basedOn w:val="Normal"/>
    <w:qFormat/>
    <w:rsid w:val="00BB5F54"/>
    <w:pPr>
      <w:spacing w:after="0"/>
    </w:pPr>
    <w:rPr>
      <w:rFonts w:eastAsia="Times New Roman" w:cs="Arial"/>
      <w:bCs/>
      <w:sz w:val="20"/>
      <w:szCs w:val="20"/>
      <w:lang w:eastAsia="en-US"/>
    </w:rPr>
  </w:style>
  <w:style w:type="table" w:styleId="TableGridLight">
    <w:name w:val="Grid Table Light"/>
    <w:basedOn w:val="TableNormal"/>
    <w:uiPriority w:val="40"/>
    <w:rsid w:val="00BB5F54"/>
    <w:pPr>
      <w:spacing w:after="0" w:line="240" w:lineRule="auto"/>
    </w:pPr>
    <w:rPr>
      <w:rFonts w:ascii="Arial" w:eastAsiaTheme="minorEastAsia" w:hAnsi="Arial" w:cs="Arial"/>
      <w:lang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rsid w:val="00BB5F54"/>
    <w:rPr>
      <w:color w:val="0000FF"/>
      <w:u w:val="single"/>
    </w:rPr>
  </w:style>
  <w:style w:type="character" w:customStyle="1" w:styleId="Heading2Char">
    <w:name w:val="Heading 2 Char"/>
    <w:basedOn w:val="DefaultParagraphFont"/>
    <w:link w:val="Heading2"/>
    <w:uiPriority w:val="9"/>
    <w:semiHidden/>
    <w:rsid w:val="00BB5F54"/>
    <w:rPr>
      <w:rFonts w:asciiTheme="majorHAnsi" w:eastAsiaTheme="majorEastAsia" w:hAnsiTheme="majorHAnsi" w:cstheme="majorBidi"/>
      <w:color w:val="2F5496" w:themeColor="accent1" w:themeShade="BF"/>
      <w:sz w:val="26"/>
      <w:szCs w:val="26"/>
      <w:lang w:eastAsia="ja-JP"/>
    </w:rPr>
  </w:style>
  <w:style w:type="table" w:styleId="TableGrid">
    <w:name w:val="Table Grid"/>
    <w:basedOn w:val="TableNormal"/>
    <w:uiPriority w:val="39"/>
    <w:rsid w:val="00BB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F54"/>
    <w:pPr>
      <w:ind w:left="720"/>
      <w:contextualSpacing/>
    </w:pPr>
  </w:style>
  <w:style w:type="paragraph" w:styleId="BlockText">
    <w:name w:val="Block Text"/>
    <w:basedOn w:val="Normal"/>
    <w:uiPriority w:val="99"/>
    <w:qFormat/>
    <w:rsid w:val="009A1618"/>
    <w:pPr>
      <w:suppressAutoHyphens/>
      <w:spacing w:after="280" w:line="300" w:lineRule="exact"/>
      <w:ind w:right="45"/>
    </w:pPr>
    <w:rPr>
      <w:rFonts w:ascii="Arial" w:eastAsia="Times" w:hAnsi="Arial" w:cs="Times New Roman"/>
      <w:sz w:val="20"/>
      <w:szCs w:val="20"/>
      <w:lang w:eastAsia="en-AU"/>
    </w:rPr>
  </w:style>
  <w:style w:type="paragraph" w:styleId="Header">
    <w:name w:val="header"/>
    <w:basedOn w:val="Normal"/>
    <w:link w:val="HeaderChar"/>
    <w:uiPriority w:val="99"/>
    <w:unhideWhenUsed/>
    <w:rsid w:val="00E23C79"/>
    <w:pPr>
      <w:tabs>
        <w:tab w:val="center" w:pos="4513"/>
        <w:tab w:val="right" w:pos="9026"/>
      </w:tabs>
      <w:spacing w:before="0" w:after="0"/>
    </w:pPr>
  </w:style>
  <w:style w:type="character" w:customStyle="1" w:styleId="HeaderChar">
    <w:name w:val="Header Char"/>
    <w:basedOn w:val="DefaultParagraphFont"/>
    <w:link w:val="Header"/>
    <w:uiPriority w:val="99"/>
    <w:rsid w:val="00E23C79"/>
    <w:rPr>
      <w:rFonts w:ascii="Calibri" w:hAnsi="Calibri" w:cs="Calibri"/>
      <w:lang w:eastAsia="ja-JP"/>
    </w:rPr>
  </w:style>
  <w:style w:type="paragraph" w:styleId="Footer">
    <w:name w:val="footer"/>
    <w:basedOn w:val="Normal"/>
    <w:link w:val="FooterChar"/>
    <w:uiPriority w:val="99"/>
    <w:unhideWhenUsed/>
    <w:rsid w:val="00E23C79"/>
    <w:pPr>
      <w:tabs>
        <w:tab w:val="center" w:pos="4513"/>
        <w:tab w:val="right" w:pos="9026"/>
      </w:tabs>
      <w:spacing w:before="0" w:after="0"/>
    </w:pPr>
  </w:style>
  <w:style w:type="character" w:customStyle="1" w:styleId="FooterChar">
    <w:name w:val="Footer Char"/>
    <w:basedOn w:val="DefaultParagraphFont"/>
    <w:link w:val="Footer"/>
    <w:uiPriority w:val="99"/>
    <w:rsid w:val="00E23C79"/>
    <w:rPr>
      <w:rFonts w:ascii="Calibri" w:hAnsi="Calibri" w:cs="Calibri"/>
      <w:lang w:eastAsia="ja-JP"/>
    </w:rPr>
  </w:style>
  <w:style w:type="table" w:customStyle="1" w:styleId="TableGrid2">
    <w:name w:val="Table Grid2"/>
    <w:basedOn w:val="TableNormal"/>
    <w:next w:val="TableGrid"/>
    <w:uiPriority w:val="39"/>
    <w:rsid w:val="00E35230"/>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Registration@qed.qld.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ta.qld.gov.au/" TargetMode="External"/><Relationship Id="rId4" Type="http://schemas.openxmlformats.org/officeDocument/2006/relationships/webSettings" Target="webSettings.xml"/><Relationship Id="rId9" Type="http://schemas.openxmlformats.org/officeDocument/2006/relationships/hyperlink" Target="mailto:InternationalRegistration@qed.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Removing a school-initiated welfare restriction (CRICOS)</dc:title>
  <dc:subject>Removing a school-initiated welfare restriction (CRICOS)</dc:subject>
  <dc:creator>Queensland Government</dc:creator>
  <cp:keywords>Removing restrictionl; school-initiated welfare restriction; CRICOS</cp:keywords>
  <dc:description/>
  <cp:revision>6</cp:revision>
  <dcterms:created xsi:type="dcterms:W3CDTF">2024-01-24T02:54:00Z</dcterms:created>
  <dcterms:modified xsi:type="dcterms:W3CDTF">2024-01-25T04:05:00Z</dcterms:modified>
</cp:coreProperties>
</file>